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D64DE" w14:textId="77777777" w:rsidR="009D0066" w:rsidRDefault="009D0066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2648AF66" w14:textId="77777777" w:rsidTr="00CC3A91">
        <w:tc>
          <w:tcPr>
            <w:tcW w:w="3369" w:type="dxa"/>
          </w:tcPr>
          <w:p w14:paraId="4B53666C" w14:textId="77777777" w:rsidR="003D2DDB" w:rsidRDefault="00CC3A91" w:rsidP="000D430D">
            <w:r>
              <w:object w:dxaOrig="9950" w:dyaOrig="3900" w14:anchorId="2A99A0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8pt;height:58.9pt" o:ole="">
                  <v:imagedata r:id="rId6" o:title=""/>
                </v:shape>
                <o:OLEObject Type="Embed" ProgID="PBrush" ShapeID="_x0000_i1025" DrawAspect="Content" ObjectID="_1667198509" r:id="rId7"/>
              </w:object>
            </w:r>
          </w:p>
        </w:tc>
        <w:tc>
          <w:tcPr>
            <w:tcW w:w="6202" w:type="dxa"/>
            <w:vAlign w:val="center"/>
          </w:tcPr>
          <w:p w14:paraId="598D2BE7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17DA21A0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D7D9F57" w14:textId="65C0CEA3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371EC2" w14:paraId="7B5692DD" w14:textId="77777777" w:rsidTr="00614089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1F311" w14:textId="575109CC" w:rsidR="00371EC2" w:rsidRPr="00371EC2" w:rsidRDefault="00371EC2" w:rsidP="00371EC2">
            <w:pPr>
              <w:jc w:val="center"/>
              <w:rPr>
                <w:b/>
                <w:bCs/>
              </w:rPr>
            </w:pPr>
            <w:r w:rsidRPr="00371EC2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031CE5" w14:paraId="631834D8" w14:textId="77777777" w:rsidTr="00371EC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01DD552" w14:textId="4026EBBE" w:rsidR="00031CE5" w:rsidRDefault="00054DA3" w:rsidP="00054DA3">
            <w:pPr>
              <w:jc w:val="right"/>
            </w:pPr>
            <w:r>
              <w:t>N</w:t>
            </w:r>
            <w:r w:rsidR="00384C51">
              <w:t>61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038D6995" w14:textId="6F28618B" w:rsidR="00031CE5" w:rsidRDefault="00031CE5" w:rsidP="00614089">
            <w:pPr>
              <w:jc w:val="right"/>
            </w:pPr>
            <w:r>
              <w:t>2020/1</w:t>
            </w:r>
            <w:r w:rsidR="00D9683F">
              <w:t>1</w:t>
            </w:r>
            <w:r>
              <w:t>/</w:t>
            </w:r>
            <w:r w:rsidR="00D9683F">
              <w:t>18</w:t>
            </w:r>
          </w:p>
        </w:tc>
      </w:tr>
      <w:tr w:rsidR="00031CE5" w14:paraId="1B0AA8EF" w14:textId="77777777" w:rsidTr="00371EC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2B039C1" w14:textId="77777777" w:rsidR="00031CE5" w:rsidRDefault="00031CE5" w:rsidP="00614089">
            <w: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DA4818C" w14:textId="1BDEF4FD" w:rsidR="00031CE5" w:rsidRDefault="00031CE5" w:rsidP="00614089">
            <w:r>
              <w:t>MPAI</w:t>
            </w:r>
            <w:r w:rsidR="00054DA3">
              <w:t>-1</w:t>
            </w:r>
          </w:p>
        </w:tc>
      </w:tr>
      <w:tr w:rsidR="00031CE5" w14:paraId="10DEE461" w14:textId="77777777" w:rsidTr="00371EC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02FFA0D6" w14:textId="77777777" w:rsidR="00031CE5" w:rsidRDefault="00031CE5" w:rsidP="00614089">
            <w: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3C9D436" w14:textId="42602BC4" w:rsidR="00031CE5" w:rsidRDefault="00054DA3" w:rsidP="00614089">
            <w:r>
              <w:t xml:space="preserve">Proposed </w:t>
            </w:r>
            <w:r w:rsidR="00031CE5">
              <w:t>MPAI Application Note #3</w:t>
            </w:r>
            <w:r w:rsidR="00D9683F">
              <w:t xml:space="preserve"> R1</w:t>
            </w:r>
            <w:r w:rsidR="00031CE5">
              <w:t xml:space="preserve"> </w:t>
            </w:r>
            <w:r>
              <w:t>- MPAI-EVC</w:t>
            </w:r>
            <w:r w:rsidR="00031CE5">
              <w:t xml:space="preserve"> AI-Enhanced Video Coding</w:t>
            </w:r>
          </w:p>
        </w:tc>
      </w:tr>
      <w:tr w:rsidR="00031CE5" w14:paraId="7433FD16" w14:textId="77777777" w:rsidTr="00371EC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1EC0FAA" w14:textId="77777777" w:rsidR="00031CE5" w:rsidRDefault="00031CE5" w:rsidP="00614089">
            <w: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821CFF6" w14:textId="77777777" w:rsidR="00031CE5" w:rsidRDefault="00031CE5" w:rsidP="00614089">
            <w:r>
              <w:t>MPAI Members</w:t>
            </w:r>
          </w:p>
        </w:tc>
      </w:tr>
    </w:tbl>
    <w:p w14:paraId="3332454E" w14:textId="27982EAD" w:rsidR="003D2DDB" w:rsidRDefault="003D2DDB" w:rsidP="007F2E7F"/>
    <w:p w14:paraId="3726B8F8" w14:textId="22A2D278" w:rsidR="00031CE5" w:rsidRPr="00031CE5" w:rsidRDefault="00031CE5" w:rsidP="00031CE5">
      <w:pPr>
        <w:jc w:val="center"/>
        <w:rPr>
          <w:b/>
          <w:bCs/>
          <w:sz w:val="28"/>
          <w:szCs w:val="28"/>
        </w:rPr>
      </w:pPr>
      <w:r w:rsidRPr="00031CE5">
        <w:rPr>
          <w:b/>
          <w:bCs/>
          <w:sz w:val="28"/>
          <w:szCs w:val="28"/>
        </w:rPr>
        <w:t>MPAI Application Note #3</w:t>
      </w:r>
      <w:r w:rsidR="00D9683F">
        <w:rPr>
          <w:b/>
          <w:bCs/>
          <w:sz w:val="28"/>
          <w:szCs w:val="28"/>
        </w:rPr>
        <w:t xml:space="preserve"> R1</w:t>
      </w:r>
    </w:p>
    <w:p w14:paraId="6392D796" w14:textId="77777777" w:rsidR="00031CE5" w:rsidRPr="00031CE5" w:rsidRDefault="00031CE5" w:rsidP="00031CE5">
      <w:pPr>
        <w:jc w:val="center"/>
        <w:rPr>
          <w:b/>
          <w:bCs/>
          <w:sz w:val="28"/>
          <w:szCs w:val="28"/>
        </w:rPr>
      </w:pPr>
      <w:r w:rsidRPr="00031CE5">
        <w:rPr>
          <w:b/>
          <w:bCs/>
          <w:sz w:val="28"/>
          <w:szCs w:val="28"/>
        </w:rPr>
        <w:t>AI-Enhanced Video Coding (MPAI-EVC)</w:t>
      </w:r>
    </w:p>
    <w:p w14:paraId="13657900" w14:textId="77777777" w:rsidR="00031CE5" w:rsidRDefault="00031CE5" w:rsidP="00031CE5"/>
    <w:p w14:paraId="0D2F22F6" w14:textId="5433DE4B" w:rsidR="007174D7" w:rsidRDefault="00031CE5" w:rsidP="007174D7">
      <w:pPr>
        <w:jc w:val="both"/>
      </w:pPr>
      <w:r w:rsidRPr="00031CE5">
        <w:rPr>
          <w:b/>
          <w:bCs/>
        </w:rPr>
        <w:t>Description</w:t>
      </w:r>
      <w:r>
        <w:t>:</w:t>
      </w:r>
      <w:r w:rsidR="00812026">
        <w:t xml:space="preserve"> the fact </w:t>
      </w:r>
      <w:r w:rsidR="0035620C">
        <w:t>that AI technologies improve data compression</w:t>
      </w:r>
      <w:r w:rsidR="00812026">
        <w:t xml:space="preserve"> more than traditional technologies stays at the foundation of MPAI</w:t>
      </w:r>
      <w:r w:rsidR="0035620C">
        <w:t xml:space="preserve">. </w:t>
      </w:r>
      <w:r w:rsidR="007174D7">
        <w:t xml:space="preserve">The </w:t>
      </w:r>
      <w:r w:rsidR="0035620C">
        <w:t xml:space="preserve">MPAI AI-Enhanced Video Coding (MPAI-EVC) </w:t>
      </w:r>
      <w:r w:rsidR="007174D7">
        <w:t xml:space="preserve">work area </w:t>
      </w:r>
      <w:r w:rsidR="0035620C">
        <w:t xml:space="preserve">is </w:t>
      </w:r>
      <w:r w:rsidR="00812026">
        <w:t>based</w:t>
      </w:r>
      <w:r w:rsidR="0035620C">
        <w:t xml:space="preserve"> on </w:t>
      </w:r>
      <w:r w:rsidR="007174D7">
        <w:t xml:space="preserve">the results of a preliminary </w:t>
      </w:r>
      <w:r>
        <w:t>investigation on the performance improvement of AI-enhanced HEVC, AI-enhanced VVC and End-to-end AI-based video coding [1]</w:t>
      </w:r>
      <w:r w:rsidR="007174D7">
        <w:t xml:space="preserve">: </w:t>
      </w:r>
      <w:r>
        <w:t>by replacing and/or enhancing exis</w:t>
      </w:r>
      <w:r w:rsidR="007174D7">
        <w:softHyphen/>
      </w:r>
      <w:r>
        <w:t>ting sel</w:t>
      </w:r>
      <w:r>
        <w:softHyphen/>
        <w:t>ected HEVC and VVC coding tools with AI-based tools, the objectively measured compres</w:t>
      </w:r>
      <w:r>
        <w:softHyphen/>
        <w:t xml:space="preserve">sion performance may be improved by up to around 30%. </w:t>
      </w:r>
    </w:p>
    <w:p w14:paraId="59F825AB" w14:textId="77777777" w:rsidR="007174D7" w:rsidRDefault="007174D7" w:rsidP="007174D7">
      <w:pPr>
        <w:jc w:val="both"/>
      </w:pPr>
    </w:p>
    <w:p w14:paraId="3E911382" w14:textId="352662C9" w:rsidR="00031CE5" w:rsidRDefault="007174D7" w:rsidP="00031CE5">
      <w:pPr>
        <w:jc w:val="both"/>
      </w:pPr>
      <w:r>
        <w:t>While reassuring, t</w:t>
      </w:r>
      <w:r w:rsidR="00306E83">
        <w:t xml:space="preserve">hese </w:t>
      </w:r>
      <w:r w:rsidR="00031CE5">
        <w:t xml:space="preserve">results were obtained by combining somewhat heterogeneous </w:t>
      </w:r>
      <w:r w:rsidR="00306E83">
        <w:t xml:space="preserve">data </w:t>
      </w:r>
      <w:r w:rsidR="00031CE5">
        <w:t>from experiments reported in the liter</w:t>
      </w:r>
      <w:r w:rsidR="00031CE5">
        <w:softHyphen/>
        <w:t xml:space="preserve">ature. Therefore, MPAI </w:t>
      </w:r>
      <w:r w:rsidR="00306E83">
        <w:t xml:space="preserve">is </w:t>
      </w:r>
      <w:r w:rsidR="00614089">
        <w:t xml:space="preserve">conducting </w:t>
      </w:r>
      <w:r>
        <w:t>the</w:t>
      </w:r>
      <w:r w:rsidR="00614089">
        <w:t xml:space="preserve"> so-called MPAI-EVC Evidence Project that </w:t>
      </w:r>
      <w:r w:rsidR="00306E83">
        <w:t>investigat</w:t>
      </w:r>
      <w:r w:rsidR="00614089">
        <w:t>es</w:t>
      </w:r>
      <w:r w:rsidR="00306E83">
        <w:t xml:space="preserve"> the feasibility </w:t>
      </w:r>
      <w:r w:rsidR="00031CE5">
        <w:t>of improving the coding efficiency by about 25% over an existing standard with an acceptable increase in complexity</w:t>
      </w:r>
      <w:r w:rsidR="00306E83">
        <w:t xml:space="preserve"> using technologies reported in the literature. If </w:t>
      </w:r>
      <w:r w:rsidR="00031CE5">
        <w:t xml:space="preserve">the investigation </w:t>
      </w:r>
      <w:r>
        <w:t>will be</w:t>
      </w:r>
      <w:r w:rsidR="00031CE5">
        <w:t xml:space="preserve"> successful, </w:t>
      </w:r>
      <w:r w:rsidR="00306E83">
        <w:t xml:space="preserve">MPAI will </w:t>
      </w:r>
      <w:r>
        <w:t xml:space="preserve">start the MPAI-EVC Standard project with the goal to </w:t>
      </w:r>
      <w:r w:rsidR="00306E83">
        <w:t xml:space="preserve">develop </w:t>
      </w:r>
      <w:r>
        <w:t xml:space="preserve">the MPAI-EVC </w:t>
      </w:r>
      <w:r w:rsidR="00031CE5">
        <w:t>standard.</w:t>
      </w:r>
    </w:p>
    <w:p w14:paraId="53F78F8B" w14:textId="77777777" w:rsidR="00306E83" w:rsidRDefault="00306E83" w:rsidP="00306E83">
      <w:pPr>
        <w:jc w:val="both"/>
      </w:pPr>
      <w:r>
        <w:t>At this stage MPAI conducts two parallel activities</w:t>
      </w:r>
    </w:p>
    <w:p w14:paraId="57ECB422" w14:textId="77777777" w:rsidR="00812026" w:rsidRDefault="00812026" w:rsidP="00812026">
      <w:pPr>
        <w:pStyle w:val="ListParagraph"/>
        <w:numPr>
          <w:ilvl w:val="0"/>
          <w:numId w:val="33"/>
        </w:numPr>
        <w:jc w:val="both"/>
      </w:pPr>
      <w:r>
        <w:t>Thorough development of requirements that the MPAI-EVC should satisfy (this doc</w:t>
      </w:r>
      <w:r>
        <w:softHyphen/>
        <w:t>ument gives an initial list of such requirements).</w:t>
      </w:r>
    </w:p>
    <w:p w14:paraId="5B4AB0D8" w14:textId="1FE43269" w:rsidR="00306E83" w:rsidRDefault="00306E83" w:rsidP="00306E83">
      <w:pPr>
        <w:pStyle w:val="ListParagraph"/>
        <w:numPr>
          <w:ilvl w:val="0"/>
          <w:numId w:val="33"/>
        </w:numPr>
        <w:jc w:val="both"/>
      </w:pPr>
      <w:r>
        <w:t xml:space="preserve">Collaborative activity targeting a sound assessment of the improvements achieved by state-of-the-art research. To the extent possible this should be done with the participation of the authors of </w:t>
      </w:r>
      <w:r w:rsidR="007174D7">
        <w:t xml:space="preserve">claimed </w:t>
      </w:r>
      <w:r>
        <w:t>major improvements</w:t>
      </w:r>
      <w:r w:rsidR="007174D7">
        <w:t>.</w:t>
      </w:r>
    </w:p>
    <w:p w14:paraId="5DA68A5B" w14:textId="77777777" w:rsidR="00031CE5" w:rsidRDefault="00031CE5" w:rsidP="00031CE5"/>
    <w:p w14:paraId="0C5429A1" w14:textId="480AB3F5" w:rsidR="00031CE5" w:rsidRPr="00031CE5" w:rsidRDefault="00031CE5" w:rsidP="00031CE5">
      <w:pPr>
        <w:jc w:val="both"/>
        <w:rPr>
          <w:b/>
          <w:bCs/>
        </w:rPr>
      </w:pPr>
      <w:r w:rsidRPr="00031CE5">
        <w:rPr>
          <w:b/>
          <w:bCs/>
        </w:rPr>
        <w:t>Comments:</w:t>
      </w:r>
    </w:p>
    <w:p w14:paraId="27E93282" w14:textId="4DFCB057" w:rsidR="00031CE5" w:rsidRDefault="00031CE5" w:rsidP="00306E83">
      <w:pPr>
        <w:pStyle w:val="ListParagraph"/>
        <w:numPr>
          <w:ilvl w:val="0"/>
          <w:numId w:val="36"/>
        </w:numPr>
        <w:jc w:val="both"/>
      </w:pPr>
      <w:r>
        <w:t>The choice of the starting point (the existing codec)</w:t>
      </w:r>
      <w:r w:rsidR="00306E83">
        <w:t>,</w:t>
      </w:r>
      <w:r>
        <w:t xml:space="preserve"> starting from which an AI-enhanced video codec should be developed</w:t>
      </w:r>
      <w:r w:rsidR="00306E83">
        <w:t>,</w:t>
      </w:r>
      <w:r>
        <w:t xml:space="preserve"> is an issue because high-performance video codecs have typically many essential patents (SEP) holders. They should all be convinced to allow MPAI to extend the selected starting point with AI-based tools that satisfy the </w:t>
      </w:r>
      <w:r w:rsidR="00306E83">
        <w:t xml:space="preserve">– still to be defined – </w:t>
      </w:r>
      <w:r>
        <w:t xml:space="preserve">MPAI-EVC framework licence. As the result of such an endeavour is not guaranteed, MPAI </w:t>
      </w:r>
      <w:r w:rsidR="007174D7">
        <w:t xml:space="preserve">has </w:t>
      </w:r>
      <w:r>
        <w:t>pick</w:t>
      </w:r>
      <w:r w:rsidR="007174D7">
        <w:t>ed</w:t>
      </w:r>
      <w:r>
        <w:t xml:space="preserve"> Essential Video Coding (MPEG-5 EVC) as the starting point. EVC baseline is reported not to be encumbered by IPR</w:t>
      </w:r>
      <w:r w:rsidR="007174D7">
        <w:t xml:space="preserve"> and the</w:t>
      </w:r>
      <w:r>
        <w:t xml:space="preserve"> EVC Main Profile is reported to have a limited number of</w:t>
      </w:r>
      <w:r w:rsidR="007174D7">
        <w:t>standard essential patent</w:t>
      </w:r>
      <w:r>
        <w:t xml:space="preserve"> </w:t>
      </w:r>
      <w:r w:rsidR="007174D7">
        <w:t>(</w:t>
      </w:r>
      <w:r>
        <w:t>SEP</w:t>
      </w:r>
      <w:r w:rsidR="007174D7">
        <w:t>)</w:t>
      </w:r>
      <w:r>
        <w:t xml:space="preserve"> holders. The choice between the </w:t>
      </w:r>
      <w:r w:rsidR="00306E83">
        <w:t xml:space="preserve">EVC </w:t>
      </w:r>
      <w:r>
        <w:t>baseline and main profile is TBD.</w:t>
      </w:r>
    </w:p>
    <w:p w14:paraId="38437D91" w14:textId="60BA5453" w:rsidR="00031CE5" w:rsidRDefault="00031CE5" w:rsidP="00306E83">
      <w:pPr>
        <w:pStyle w:val="ListParagraph"/>
        <w:numPr>
          <w:ilvl w:val="0"/>
          <w:numId w:val="36"/>
        </w:numPr>
        <w:jc w:val="both"/>
      </w:pPr>
      <w:r>
        <w:t xml:space="preserve">It may eventually turn out that, MPAI-EVC is less performing than standards developed based on FRAND declarations because it would be constrained by using IP falling under the framework licence. However, MPAI-EVC would be coming with a framework licence that can be very close to an actual licence, while other standards would come with many FRAND </w:t>
      </w:r>
      <w:r>
        <w:lastRenderedPageBreak/>
        <w:t xml:space="preserve">declarations, </w:t>
      </w:r>
      <w:r w:rsidR="00812026">
        <w:t xml:space="preserve">likely </w:t>
      </w:r>
      <w:r w:rsidR="008878C0">
        <w:t xml:space="preserve">in a </w:t>
      </w:r>
      <w:r>
        <w:t xml:space="preserve">much larger </w:t>
      </w:r>
      <w:r w:rsidR="008878C0">
        <w:t xml:space="preserve">number </w:t>
      </w:r>
      <w:r>
        <w:t>than we have seen so far. MPAI-EVC could later be extended with more tools and new framework licences.</w:t>
      </w:r>
    </w:p>
    <w:p w14:paraId="10350370" w14:textId="4A8A5D8D" w:rsidR="00031CE5" w:rsidRPr="00031CE5" w:rsidRDefault="00031CE5" w:rsidP="00031CE5">
      <w:pPr>
        <w:rPr>
          <w:b/>
          <w:bCs/>
        </w:rPr>
      </w:pPr>
      <w:r w:rsidRPr="00031CE5">
        <w:rPr>
          <w:b/>
          <w:bCs/>
        </w:rPr>
        <w:t>Examples</w:t>
      </w:r>
    </w:p>
    <w:p w14:paraId="7BDBF219" w14:textId="60DDA162" w:rsidR="00812026" w:rsidRDefault="00031CE5" w:rsidP="007F2E7F">
      <w:r>
        <w:t>The following figures represent the block diagrams of 3 potential configurations to be adopted by the MPAI-EVC standard</w:t>
      </w:r>
    </w:p>
    <w:p w14:paraId="51A67702" w14:textId="6DA2FFF3" w:rsidR="00125414" w:rsidRDefault="00125414" w:rsidP="00812026">
      <w:pPr>
        <w:jc w:val="center"/>
      </w:pPr>
      <w:r>
        <w:rPr>
          <w:noProof/>
        </w:rPr>
        <w:drawing>
          <wp:inline distT="0" distB="0" distL="0" distR="0" wp14:anchorId="32429CC6" wp14:editId="56C5643B">
            <wp:extent cx="5937250" cy="38862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E64F8" w14:textId="388E354A" w:rsidR="00031CE5" w:rsidRDefault="00031CE5" w:rsidP="007F2E7F"/>
    <w:p w14:paraId="477B89D9" w14:textId="34D204D0" w:rsidR="00E9347A" w:rsidRDefault="00E9347A" w:rsidP="00E9347A">
      <w:pPr>
        <w:jc w:val="center"/>
      </w:pPr>
      <w:bookmarkStart w:id="0" w:name="_Ref53307138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9C4607">
        <w:rPr>
          <w:i/>
          <w:noProof/>
          <w:lang w:val="en-US"/>
        </w:rPr>
        <w:t>1</w:t>
      </w:r>
      <w:r>
        <w:fldChar w:fldCharType="end"/>
      </w:r>
      <w:bookmarkEnd w:id="0"/>
      <w:r>
        <w:t xml:space="preserve"> –</w:t>
      </w:r>
      <w:r>
        <w:rPr>
          <w:i/>
          <w:lang w:val="en-US"/>
        </w:rPr>
        <w:t xml:space="preserve"> A reference diagram for the </w:t>
      </w:r>
      <w:r w:rsidRPr="006A5023">
        <w:rPr>
          <w:i/>
          <w:lang w:val="en-US"/>
        </w:rPr>
        <w:t>Horizontal Hybrid approach</w:t>
      </w:r>
    </w:p>
    <w:p w14:paraId="3E406550" w14:textId="77777777" w:rsidR="00E9347A" w:rsidRDefault="00E9347A" w:rsidP="007F2E7F"/>
    <w:p w14:paraId="2772A30F" w14:textId="6C9CE143" w:rsidR="00031CE5" w:rsidRDefault="00031CE5" w:rsidP="00E9347A">
      <w:pPr>
        <w:jc w:val="both"/>
      </w:pPr>
      <w:r>
        <w:t xml:space="preserve">The green circles </w:t>
      </w:r>
      <w:r w:rsidR="00E9347A">
        <w:t xml:space="preserve">of </w:t>
      </w:r>
      <w:r w:rsidR="00E9347A">
        <w:fldChar w:fldCharType="begin"/>
      </w:r>
      <w:r w:rsidR="00E9347A">
        <w:instrText xml:space="preserve"> REF _Ref53307138 \h  \* MERGEFORMAT </w:instrText>
      </w:r>
      <w:r w:rsidR="00E9347A">
        <w:fldChar w:fldCharType="separate"/>
      </w:r>
      <w:r w:rsidR="009C4607">
        <w:rPr>
          <w:i/>
          <w:lang w:val="en-US"/>
        </w:rPr>
        <w:t xml:space="preserve">Figure </w:t>
      </w:r>
      <w:r w:rsidR="009C4607">
        <w:rPr>
          <w:i/>
          <w:noProof/>
          <w:lang w:val="en-US"/>
        </w:rPr>
        <w:t>1</w:t>
      </w:r>
      <w:r w:rsidR="00E9347A">
        <w:fldChar w:fldCharType="end"/>
      </w:r>
      <w:r w:rsidR="00E9347A">
        <w:t xml:space="preserve"> </w:t>
      </w:r>
      <w:r>
        <w:t xml:space="preserve">indicate traditional video coding tools that could be </w:t>
      </w:r>
      <w:r w:rsidR="00E9347A">
        <w:t xml:space="preserve">enhanced or replaced by AI-enabled tools. </w:t>
      </w:r>
      <w:r w:rsidR="00812026">
        <w:fldChar w:fldCharType="begin"/>
      </w:r>
      <w:r w:rsidR="00812026">
        <w:instrText xml:space="preserve"> REF _Ref53307138 \h </w:instrText>
      </w:r>
      <w:r w:rsidR="00812026">
        <w:fldChar w:fldCharType="separate"/>
      </w:r>
      <w:r w:rsidR="00812026">
        <w:rPr>
          <w:i/>
          <w:lang w:val="en-US"/>
        </w:rPr>
        <w:t xml:space="preserve">Figure </w:t>
      </w:r>
      <w:r w:rsidR="00812026">
        <w:rPr>
          <w:i/>
          <w:noProof/>
          <w:lang w:val="en-US"/>
        </w:rPr>
        <w:t>1</w:t>
      </w:r>
      <w:r w:rsidR="00812026">
        <w:fldChar w:fldCharType="end"/>
      </w:r>
      <w:r w:rsidR="00812026">
        <w:t xml:space="preserve"> is at</w:t>
      </w:r>
      <w:r w:rsidR="00E9347A">
        <w:t xml:space="preserve"> the basis of the collaborative activity men</w:t>
      </w:r>
      <w:r w:rsidR="00E9347A">
        <w:softHyphen/>
        <w:t>tioned above.</w:t>
      </w:r>
    </w:p>
    <w:p w14:paraId="63A6B006" w14:textId="77777777" w:rsidR="007174D7" w:rsidRDefault="007174D7" w:rsidP="007174D7">
      <w:pPr>
        <w:jc w:val="both"/>
      </w:pPr>
    </w:p>
    <w:p w14:paraId="00B930A0" w14:textId="6F9C59F4" w:rsidR="008878C0" w:rsidRDefault="007174D7" w:rsidP="008878C0">
      <w:pPr>
        <w:jc w:val="both"/>
      </w:pPr>
      <w:r>
        <w:t>MPAI is also aware of ongoing research targeted at hybrid schemes where AI-based technologies are added to the existing codecs as an enhancement layer without making any change to the base-layer codec itself, thus providing backward-compatible solutions [2].</w:t>
      </w:r>
      <w:r w:rsidR="008878C0">
        <w:t xml:space="preserve"> </w:t>
      </w:r>
      <w:r w:rsidR="00A217F3">
        <w:t>Some MPAI members are conducting research in this area and a coordinated MPAI activity could be kicked off soon.</w:t>
      </w:r>
      <w:r w:rsidR="00812026">
        <w:t xml:space="preserve"> </w:t>
      </w:r>
      <w:r w:rsidR="008878C0">
        <w:fldChar w:fldCharType="begin"/>
      </w:r>
      <w:r w:rsidR="008878C0">
        <w:instrText xml:space="preserve"> REF _Ref53307088 \h </w:instrText>
      </w:r>
      <w:r w:rsidR="008878C0">
        <w:fldChar w:fldCharType="separate"/>
      </w:r>
      <w:r w:rsidR="008878C0">
        <w:rPr>
          <w:i/>
          <w:lang w:val="en-US"/>
        </w:rPr>
        <w:t xml:space="preserve">Figure </w:t>
      </w:r>
      <w:r w:rsidR="008878C0">
        <w:rPr>
          <w:i/>
          <w:noProof/>
          <w:lang w:val="en-US"/>
        </w:rPr>
        <w:t>2</w:t>
      </w:r>
      <w:r w:rsidR="008878C0">
        <w:fldChar w:fldCharType="end"/>
      </w:r>
      <w:r w:rsidR="008878C0">
        <w:t xml:space="preserve"> shows a traditional video codec enhanced by an AI Enhancement codec.</w:t>
      </w:r>
    </w:p>
    <w:p w14:paraId="45C67854" w14:textId="11FD64F0" w:rsidR="00455A1F" w:rsidRDefault="00455A1F" w:rsidP="00812026">
      <w:pPr>
        <w:jc w:val="center"/>
      </w:pPr>
      <w:r>
        <w:rPr>
          <w:noProof/>
          <w:lang w:val="it-IT" w:eastAsia="it-IT"/>
        </w:rPr>
        <w:drawing>
          <wp:inline distT="0" distB="0" distL="0" distR="0" wp14:anchorId="41160243" wp14:editId="0F52FAA1">
            <wp:extent cx="5184793" cy="2014614"/>
            <wp:effectExtent l="0" t="0" r="0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dec schema_wen-Hsia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56" cy="206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430B4" w14:textId="4F21764A" w:rsidR="00E9347A" w:rsidRDefault="00E9347A" w:rsidP="00E9347A">
      <w:pPr>
        <w:jc w:val="center"/>
        <w:rPr>
          <w:i/>
          <w:lang w:val="en-US"/>
        </w:rPr>
      </w:pPr>
      <w:bookmarkStart w:id="1" w:name="_Ref53307088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9C4607">
        <w:rPr>
          <w:i/>
          <w:noProof/>
          <w:lang w:val="en-US"/>
        </w:rPr>
        <w:t>2</w:t>
      </w:r>
      <w:r>
        <w:fldChar w:fldCharType="end"/>
      </w:r>
      <w:bookmarkEnd w:id="1"/>
      <w:r>
        <w:t xml:space="preserve"> –</w:t>
      </w:r>
      <w:r>
        <w:rPr>
          <w:i/>
          <w:lang w:val="en-US"/>
        </w:rPr>
        <w:t xml:space="preserve"> A reference diagram for the Vertical</w:t>
      </w:r>
      <w:r w:rsidRPr="006A5023">
        <w:rPr>
          <w:i/>
          <w:lang w:val="en-US"/>
        </w:rPr>
        <w:t xml:space="preserve"> Hybrid approach</w:t>
      </w:r>
    </w:p>
    <w:p w14:paraId="5E2731FF" w14:textId="77777777" w:rsidR="00E9347A" w:rsidRDefault="00E9347A" w:rsidP="007F2E7F"/>
    <w:p w14:paraId="3B971A8C" w14:textId="707E479E" w:rsidR="00E9347A" w:rsidRDefault="008878C0" w:rsidP="008878C0">
      <w:pPr>
        <w:jc w:val="both"/>
      </w:pPr>
      <w:r>
        <w:t xml:space="preserve">Investigation [1] also showed that encouraging results can be obtained from new types of AI-based coding schemes – called end-to-end. These schemes, while promising, still need substantial more research. </w:t>
      </w:r>
    </w:p>
    <w:p w14:paraId="3863428E" w14:textId="52FD15BB" w:rsidR="00E9347A" w:rsidRDefault="00E9347A" w:rsidP="007F2E7F"/>
    <w:p w14:paraId="52378019" w14:textId="2915D3BC" w:rsidR="00E9347A" w:rsidRDefault="00E9347A" w:rsidP="007F2E7F">
      <w:r>
        <w:rPr>
          <w:rFonts w:eastAsiaTheme="minorEastAsia"/>
          <w:noProof/>
          <w:szCs w:val="20"/>
          <w:lang w:val="it-IT" w:eastAsia="it-IT"/>
        </w:rPr>
        <w:drawing>
          <wp:inline distT="0" distB="0" distL="0" distR="0" wp14:anchorId="6EBB1D51" wp14:editId="15492416">
            <wp:extent cx="5940425" cy="2472055"/>
            <wp:effectExtent l="0" t="0" r="3175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dec schema_endtoend_smal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8AD70" w14:textId="359411B6" w:rsidR="009C4607" w:rsidRDefault="009C4607" w:rsidP="009C4607">
      <w:pPr>
        <w:jc w:val="center"/>
        <w:rPr>
          <w:i/>
        </w:rPr>
      </w:pPr>
      <w:bookmarkStart w:id="2" w:name="_Ref53596277"/>
      <w:r w:rsidRPr="009C4607">
        <w:rPr>
          <w:i/>
          <w:lang w:val="en-US"/>
        </w:rPr>
        <w:t xml:space="preserve">Figure </w:t>
      </w:r>
      <w:r w:rsidRPr="009C4607">
        <w:rPr>
          <w:i/>
        </w:rPr>
        <w:fldChar w:fldCharType="begin"/>
      </w:r>
      <w:r w:rsidRPr="009C4607">
        <w:rPr>
          <w:i/>
          <w:lang w:val="en-US"/>
        </w:rPr>
        <w:instrText xml:space="preserve"> SEQ Figure \* ARABIC </w:instrText>
      </w:r>
      <w:r w:rsidRPr="009C4607">
        <w:rPr>
          <w:i/>
        </w:rPr>
        <w:fldChar w:fldCharType="separate"/>
      </w:r>
      <w:r>
        <w:rPr>
          <w:i/>
          <w:noProof/>
          <w:lang w:val="en-US"/>
        </w:rPr>
        <w:t>3</w:t>
      </w:r>
      <w:r w:rsidRPr="009C4607">
        <w:rPr>
          <w:i/>
        </w:rPr>
        <w:fldChar w:fldCharType="end"/>
      </w:r>
      <w:bookmarkEnd w:id="2"/>
      <w:r w:rsidRPr="009C4607">
        <w:rPr>
          <w:i/>
        </w:rPr>
        <w:t xml:space="preserve"> – End-to-end deep video compression scheme</w:t>
      </w:r>
    </w:p>
    <w:p w14:paraId="5218B4FD" w14:textId="18E42E32" w:rsidR="009C4607" w:rsidRPr="009C4607" w:rsidRDefault="009C4607" w:rsidP="009C4607">
      <w:pPr>
        <w:rPr>
          <w:iCs/>
        </w:rPr>
      </w:pPr>
    </w:p>
    <w:p w14:paraId="04CCF74E" w14:textId="6A7903BE" w:rsidR="009C4607" w:rsidRDefault="009C4607" w:rsidP="009C4607">
      <w:pPr>
        <w:jc w:val="both"/>
        <w:rPr>
          <w:iCs/>
        </w:rPr>
      </w:pPr>
      <w:r>
        <w:rPr>
          <w:iCs/>
        </w:rPr>
        <w:t xml:space="preserve">Even though MPAI considers the end-to-end approach of </w:t>
      </w:r>
      <w:r>
        <w:rPr>
          <w:iCs/>
        </w:rPr>
        <w:fldChar w:fldCharType="begin"/>
      </w:r>
      <w:r>
        <w:rPr>
          <w:iCs/>
        </w:rPr>
        <w:instrText xml:space="preserve"> REF _Ref53596277 \h  \* MERGEFORMAT </w:instrText>
      </w:r>
      <w:r>
        <w:rPr>
          <w:iCs/>
        </w:rPr>
      </w:r>
      <w:r>
        <w:rPr>
          <w:iCs/>
        </w:rPr>
        <w:fldChar w:fldCharType="separate"/>
      </w:r>
      <w:r w:rsidRPr="009C4607">
        <w:rPr>
          <w:i/>
          <w:lang w:val="en-US"/>
        </w:rPr>
        <w:t xml:space="preserve">Figure </w:t>
      </w:r>
      <w:r>
        <w:rPr>
          <w:i/>
          <w:noProof/>
          <w:lang w:val="en-US"/>
        </w:rPr>
        <w:t>3</w:t>
      </w:r>
      <w:r>
        <w:rPr>
          <w:iCs/>
        </w:rPr>
        <w:fldChar w:fldCharType="end"/>
      </w:r>
      <w:r>
        <w:rPr>
          <w:iCs/>
        </w:rPr>
        <w:t xml:space="preserve"> not mature for standardis</w:t>
      </w:r>
      <w:r>
        <w:rPr>
          <w:iCs/>
        </w:rPr>
        <w:softHyphen/>
        <w:t xml:space="preserve">ation, MPAI should not add any constraints on the technology </w:t>
      </w:r>
      <w:r w:rsidR="00125414">
        <w:rPr>
          <w:iCs/>
        </w:rPr>
        <w:t xml:space="preserve">that will be </w:t>
      </w:r>
      <w:r>
        <w:rPr>
          <w:iCs/>
        </w:rPr>
        <w:t xml:space="preserve">submitted in response to </w:t>
      </w:r>
      <w:r w:rsidR="00125414">
        <w:rPr>
          <w:iCs/>
        </w:rPr>
        <w:t>the MPAI-EVC</w:t>
      </w:r>
      <w:r>
        <w:rPr>
          <w:iCs/>
        </w:rPr>
        <w:t xml:space="preserve"> Call for Technology other than satisfaction of the </w:t>
      </w:r>
      <w:r w:rsidR="00125414">
        <w:rPr>
          <w:iCs/>
        </w:rPr>
        <w:t xml:space="preserve">MPAI-EVC </w:t>
      </w:r>
      <w:r>
        <w:rPr>
          <w:iCs/>
        </w:rPr>
        <w:t>requirements</w:t>
      </w:r>
      <w:r w:rsidR="00125414">
        <w:rPr>
          <w:iCs/>
        </w:rPr>
        <w:t xml:space="preserve"> [6]</w:t>
      </w:r>
      <w:r>
        <w:rPr>
          <w:iCs/>
        </w:rPr>
        <w:t>.</w:t>
      </w:r>
    </w:p>
    <w:p w14:paraId="43C9C349" w14:textId="3AC44EB3" w:rsidR="0010591A" w:rsidRDefault="0010591A" w:rsidP="009C4607">
      <w:pPr>
        <w:jc w:val="both"/>
        <w:rPr>
          <w:iCs/>
        </w:rPr>
      </w:pPr>
    </w:p>
    <w:p w14:paraId="5C063FEC" w14:textId="5DCBF142" w:rsidR="0010591A" w:rsidRPr="00C416EF" w:rsidRDefault="0010591A" w:rsidP="00614089">
      <w:pPr>
        <w:spacing w:line="259" w:lineRule="auto"/>
        <w:jc w:val="both"/>
        <w:rPr>
          <w:iCs/>
        </w:rPr>
      </w:pPr>
      <w:r w:rsidRPr="00C416EF">
        <w:rPr>
          <w:iCs/>
        </w:rPr>
        <w:t>MPAI</w:t>
      </w:r>
      <w:r w:rsidR="00125414">
        <w:rPr>
          <w:iCs/>
        </w:rPr>
        <w:t xml:space="preserve"> is currently engaged in the MPAI-EVC Evidence Project with the goal to verify that AI-based technologies improve coding efficiency. It </w:t>
      </w:r>
      <w:r w:rsidRPr="00C416EF">
        <w:rPr>
          <w:iCs/>
        </w:rPr>
        <w:t>has produced the Operational Guidelines</w:t>
      </w:r>
      <w:r w:rsidR="008878C0">
        <w:rPr>
          <w:iCs/>
        </w:rPr>
        <w:t xml:space="preserve"> for MPAI-EVC Evidence Project</w:t>
      </w:r>
      <w:r w:rsidR="00125414">
        <w:rPr>
          <w:iCs/>
        </w:rPr>
        <w:t xml:space="preserve"> [7]</w:t>
      </w:r>
      <w:r w:rsidRPr="00C416EF">
        <w:rPr>
          <w:iCs/>
        </w:rPr>
        <w:t xml:space="preserve"> to provide practical guidance to achieve, step by step, the collaborative goal of starting from an existing standard and try</w:t>
      </w:r>
      <w:r w:rsidR="0074339D">
        <w:rPr>
          <w:iCs/>
        </w:rPr>
        <w:t>ing</w:t>
      </w:r>
      <w:r w:rsidRPr="00C416EF">
        <w:rPr>
          <w:iCs/>
        </w:rPr>
        <w:t xml:space="preserve"> to replace tools in that architecture with published </w:t>
      </w:r>
      <w:r>
        <w:rPr>
          <w:iCs/>
        </w:rPr>
        <w:t>AI-</w:t>
      </w:r>
      <w:r w:rsidRPr="00C416EF">
        <w:rPr>
          <w:iCs/>
        </w:rPr>
        <w:t xml:space="preserve">tools that claim </w:t>
      </w:r>
      <w:r w:rsidR="008878C0">
        <w:rPr>
          <w:iCs/>
        </w:rPr>
        <w:t xml:space="preserve">superior </w:t>
      </w:r>
      <w:r w:rsidRPr="00C416EF">
        <w:rPr>
          <w:iCs/>
        </w:rPr>
        <w:t>perform</w:t>
      </w:r>
      <w:r w:rsidR="008878C0">
        <w:rPr>
          <w:iCs/>
        </w:rPr>
        <w:t>ance compared to traditional tools</w:t>
      </w:r>
      <w:r w:rsidRPr="00C416EF">
        <w:rPr>
          <w:iCs/>
        </w:rPr>
        <w:t>.</w:t>
      </w:r>
      <w:r w:rsidR="00614089">
        <w:rPr>
          <w:iCs/>
        </w:rPr>
        <w:t xml:space="preserve"> The first tools </w:t>
      </w:r>
      <w:r w:rsidR="008878C0">
        <w:rPr>
          <w:iCs/>
        </w:rPr>
        <w:t xml:space="preserve">planned </w:t>
      </w:r>
      <w:r w:rsidR="00614089">
        <w:rPr>
          <w:iCs/>
        </w:rPr>
        <w:t xml:space="preserve">to be replaced are </w:t>
      </w:r>
      <w:r w:rsidR="00614089" w:rsidRPr="00C416EF">
        <w:rPr>
          <w:iCs/>
        </w:rPr>
        <w:t>Super resolution and In loop filter</w:t>
      </w:r>
      <w:r w:rsidR="00614089">
        <w:rPr>
          <w:iCs/>
        </w:rPr>
        <w:t>.</w:t>
      </w:r>
    </w:p>
    <w:p w14:paraId="1E6F81CE" w14:textId="77777777" w:rsidR="00614089" w:rsidRDefault="00614089" w:rsidP="009C4607">
      <w:pPr>
        <w:jc w:val="both"/>
        <w:rPr>
          <w:iCs/>
        </w:rPr>
      </w:pPr>
    </w:p>
    <w:p w14:paraId="740BF097" w14:textId="4DC8764F" w:rsidR="00B90EDB" w:rsidRDefault="00125414" w:rsidP="009C4607">
      <w:pPr>
        <w:jc w:val="both"/>
        <w:rPr>
          <w:iCs/>
        </w:rPr>
      </w:pPr>
      <w:r>
        <w:rPr>
          <w:iCs/>
        </w:rPr>
        <w:t xml:space="preserve">This project is being conducted in two parallel activities </w:t>
      </w:r>
    </w:p>
    <w:p w14:paraId="67FA6972" w14:textId="76AEFBDC" w:rsidR="0010591A" w:rsidRPr="00C416EF" w:rsidRDefault="0010591A" w:rsidP="00614089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Fonts w:eastAsia="SimSun"/>
          <w:iCs/>
          <w:lang w:eastAsia="zh-CN"/>
        </w:rPr>
      </w:pPr>
      <w:r w:rsidRPr="00C416EF">
        <w:rPr>
          <w:rFonts w:eastAsia="SimSun"/>
          <w:iCs/>
          <w:lang w:eastAsia="zh-CN"/>
        </w:rPr>
        <w:t xml:space="preserve">Integrating EVC </w:t>
      </w:r>
      <w:r w:rsidR="00125414">
        <w:rPr>
          <w:rFonts w:eastAsia="SimSun"/>
          <w:iCs/>
          <w:lang w:eastAsia="zh-CN"/>
        </w:rPr>
        <w:t>software</w:t>
      </w:r>
      <w:r w:rsidRPr="00C416EF">
        <w:rPr>
          <w:rFonts w:eastAsia="SimSun"/>
          <w:iCs/>
          <w:lang w:eastAsia="zh-CN"/>
        </w:rPr>
        <w:t xml:space="preserve"> with the neural network frameworks (e.g., Tensorflow, Python and Torch) via a web socket approach</w:t>
      </w:r>
      <w:r w:rsidR="00614089">
        <w:rPr>
          <w:rFonts w:eastAsia="SimSun"/>
          <w:iCs/>
          <w:lang w:eastAsia="zh-CN"/>
        </w:rPr>
        <w:t xml:space="preserve">, thus building </w:t>
      </w:r>
      <w:r w:rsidRPr="00C416EF">
        <w:rPr>
          <w:rFonts w:eastAsia="SimSun"/>
          <w:iCs/>
          <w:lang w:eastAsia="zh-CN"/>
        </w:rPr>
        <w:t>an abstraction layer agnostic to the frame</w:t>
      </w:r>
      <w:r w:rsidR="008878C0">
        <w:rPr>
          <w:rFonts w:eastAsia="SimSun"/>
          <w:iCs/>
          <w:lang w:eastAsia="zh-CN"/>
        </w:rPr>
        <w:softHyphen/>
      </w:r>
      <w:r w:rsidRPr="00C416EF">
        <w:rPr>
          <w:rFonts w:eastAsia="SimSun"/>
          <w:iCs/>
          <w:lang w:eastAsia="zh-CN"/>
        </w:rPr>
        <w:t>work. </w:t>
      </w:r>
    </w:p>
    <w:p w14:paraId="0CAC3021" w14:textId="5ECC6552" w:rsidR="0010591A" w:rsidRPr="00C416EF" w:rsidRDefault="00614089" w:rsidP="00614089">
      <w:pPr>
        <w:pStyle w:val="ListParagraph"/>
        <w:numPr>
          <w:ilvl w:val="0"/>
          <w:numId w:val="38"/>
        </w:numPr>
        <w:shd w:val="clear" w:color="auto" w:fill="FFFFFF"/>
        <w:autoSpaceDN/>
        <w:jc w:val="both"/>
        <w:rPr>
          <w:rFonts w:eastAsia="SimSun"/>
          <w:iCs/>
          <w:lang w:eastAsia="zh-CN"/>
        </w:rPr>
      </w:pPr>
      <w:r>
        <w:rPr>
          <w:rFonts w:eastAsia="SimSun"/>
          <w:iCs/>
          <w:lang w:eastAsia="zh-CN"/>
        </w:rPr>
        <w:t xml:space="preserve">Porting code </w:t>
      </w:r>
      <w:r w:rsidR="008878C0">
        <w:rPr>
          <w:rFonts w:eastAsia="SimSun"/>
          <w:iCs/>
          <w:lang w:eastAsia="zh-CN"/>
        </w:rPr>
        <w:t xml:space="preserve">developed in </w:t>
      </w:r>
      <w:r>
        <w:rPr>
          <w:rFonts w:eastAsia="SimSun"/>
          <w:iCs/>
          <w:lang w:eastAsia="zh-CN"/>
        </w:rPr>
        <w:t xml:space="preserve">activity 1. </w:t>
      </w:r>
      <w:r w:rsidR="008878C0">
        <w:rPr>
          <w:rFonts w:eastAsia="SimSun"/>
          <w:iCs/>
          <w:lang w:eastAsia="zh-CN"/>
        </w:rPr>
        <w:t>to</w:t>
      </w:r>
      <w:r>
        <w:rPr>
          <w:rFonts w:eastAsia="SimSun"/>
          <w:iCs/>
          <w:lang w:eastAsia="zh-CN"/>
        </w:rPr>
        <w:t xml:space="preserve"> </w:t>
      </w:r>
      <w:r w:rsidR="0010591A" w:rsidRPr="00C416EF">
        <w:rPr>
          <w:rFonts w:eastAsia="SimSun"/>
          <w:iCs/>
          <w:szCs w:val="24"/>
          <w:lang w:eastAsia="zh-CN"/>
        </w:rPr>
        <w:t>FPGA boards that are more effective than generic processors in terms of performance with low latency and high throughput [3,4,5]</w:t>
      </w:r>
    </w:p>
    <w:p w14:paraId="0C2D8ECC" w14:textId="7D8E4E8C" w:rsidR="009C4607" w:rsidRDefault="009C4607" w:rsidP="009C4607">
      <w:pPr>
        <w:jc w:val="both"/>
        <w:rPr>
          <w:iCs/>
        </w:rPr>
      </w:pPr>
    </w:p>
    <w:p w14:paraId="57684FB6" w14:textId="135501F6" w:rsidR="009C4607" w:rsidRPr="009C4607" w:rsidRDefault="009C4607" w:rsidP="009C4607">
      <w:pPr>
        <w:jc w:val="both"/>
        <w:rPr>
          <w:b/>
          <w:bCs/>
          <w:iCs/>
        </w:rPr>
      </w:pPr>
      <w:r w:rsidRPr="009C4607">
        <w:rPr>
          <w:b/>
          <w:bCs/>
          <w:iCs/>
        </w:rPr>
        <w:t>Requirements</w:t>
      </w:r>
    </w:p>
    <w:p w14:paraId="2BB85C53" w14:textId="31E28CC6" w:rsidR="009C4607" w:rsidRPr="009C4607" w:rsidRDefault="008878C0" w:rsidP="008878C0">
      <w:pPr>
        <w:jc w:val="both"/>
        <w:rPr>
          <w:iCs/>
        </w:rPr>
      </w:pPr>
      <w:r>
        <w:rPr>
          <w:iCs/>
        </w:rPr>
        <w:t>MPAI has already developed a consistent set of requirements [6]. Further revisions of the document are expected in the future.</w:t>
      </w:r>
    </w:p>
    <w:p w14:paraId="0D2C1335" w14:textId="6948C072" w:rsidR="009C4607" w:rsidRDefault="009C4607" w:rsidP="009C4607">
      <w:pPr>
        <w:jc w:val="both"/>
        <w:rPr>
          <w:iCs/>
        </w:rPr>
      </w:pPr>
    </w:p>
    <w:p w14:paraId="6D2345C3" w14:textId="77777777" w:rsidR="009C4607" w:rsidRPr="009C4607" w:rsidRDefault="009C4607" w:rsidP="009C4607">
      <w:pPr>
        <w:jc w:val="both"/>
        <w:rPr>
          <w:iCs/>
        </w:rPr>
      </w:pPr>
      <w:r w:rsidRPr="00204E15">
        <w:rPr>
          <w:b/>
          <w:bCs/>
          <w:iCs/>
        </w:rPr>
        <w:t>Object of standard</w:t>
      </w:r>
      <w:r w:rsidRPr="009C4607">
        <w:rPr>
          <w:iCs/>
        </w:rPr>
        <w:t>: Syntax and semantics of a bitstream entering a video decoder.</w:t>
      </w:r>
    </w:p>
    <w:p w14:paraId="7D383429" w14:textId="77777777" w:rsidR="009C4607" w:rsidRPr="009C4607" w:rsidRDefault="009C4607" w:rsidP="009C4607">
      <w:pPr>
        <w:jc w:val="both"/>
        <w:rPr>
          <w:iCs/>
        </w:rPr>
      </w:pPr>
      <w:r w:rsidRPr="009C4607">
        <w:rPr>
          <w:iCs/>
        </w:rPr>
        <w:t xml:space="preserve"> </w:t>
      </w:r>
    </w:p>
    <w:p w14:paraId="7035FF81" w14:textId="2646CB6B" w:rsidR="009C4607" w:rsidRPr="009C4607" w:rsidRDefault="009C4607" w:rsidP="009C4607">
      <w:pPr>
        <w:jc w:val="both"/>
        <w:rPr>
          <w:iCs/>
        </w:rPr>
      </w:pPr>
      <w:r w:rsidRPr="00204E15">
        <w:rPr>
          <w:b/>
          <w:bCs/>
          <w:iCs/>
        </w:rPr>
        <w:t>Benefits</w:t>
      </w:r>
      <w:r w:rsidRPr="009C4607">
        <w:rPr>
          <w:iCs/>
        </w:rPr>
        <w:t>:</w:t>
      </w:r>
      <w:r w:rsidR="00204E15">
        <w:rPr>
          <w:iCs/>
        </w:rPr>
        <w:t xml:space="preserve"> Gradual introduction of AI-based technologies will allow a transition from technologies used in </w:t>
      </w:r>
      <w:r w:rsidR="00125414">
        <w:rPr>
          <w:iCs/>
        </w:rPr>
        <w:t xml:space="preserve">traditional </w:t>
      </w:r>
      <w:r w:rsidR="00204E15">
        <w:rPr>
          <w:iCs/>
        </w:rPr>
        <w:t>signal processing to a common base of technologies used for information proc</w:t>
      </w:r>
      <w:r w:rsidR="00125414">
        <w:rPr>
          <w:iCs/>
        </w:rPr>
        <w:softHyphen/>
      </w:r>
      <w:r w:rsidR="00204E15">
        <w:rPr>
          <w:iCs/>
        </w:rPr>
        <w:t>essing.</w:t>
      </w:r>
    </w:p>
    <w:p w14:paraId="6297E661" w14:textId="77777777" w:rsidR="009C4607" w:rsidRPr="009C4607" w:rsidRDefault="009C4607" w:rsidP="009C4607">
      <w:pPr>
        <w:jc w:val="both"/>
        <w:rPr>
          <w:iCs/>
        </w:rPr>
      </w:pPr>
      <w:r w:rsidRPr="009C4607">
        <w:rPr>
          <w:iCs/>
        </w:rPr>
        <w:t xml:space="preserve"> </w:t>
      </w:r>
    </w:p>
    <w:p w14:paraId="321320E6" w14:textId="3FEAE218" w:rsidR="009C4607" w:rsidRPr="009C4607" w:rsidRDefault="009C4607" w:rsidP="009C4607">
      <w:pPr>
        <w:jc w:val="both"/>
        <w:rPr>
          <w:iCs/>
        </w:rPr>
      </w:pPr>
      <w:r w:rsidRPr="00204E15">
        <w:rPr>
          <w:b/>
          <w:bCs/>
          <w:iCs/>
        </w:rPr>
        <w:lastRenderedPageBreak/>
        <w:t>Bottlenecks</w:t>
      </w:r>
      <w:r w:rsidRPr="009C4607">
        <w:rPr>
          <w:iCs/>
        </w:rPr>
        <w:t>:</w:t>
      </w:r>
      <w:r w:rsidR="00204E15">
        <w:rPr>
          <w:iCs/>
        </w:rPr>
        <w:t xml:space="preserve"> </w:t>
      </w:r>
      <w:r w:rsidRPr="009C4607">
        <w:rPr>
          <w:iCs/>
        </w:rPr>
        <w:t xml:space="preserve">The computational costs of AI-based tools </w:t>
      </w:r>
      <w:r w:rsidR="00204E15">
        <w:rPr>
          <w:iCs/>
        </w:rPr>
        <w:t xml:space="preserve">for video compression </w:t>
      </w:r>
      <w:r w:rsidRPr="009C4607">
        <w:rPr>
          <w:iCs/>
        </w:rPr>
        <w:t>should be assessed under common test conditions.</w:t>
      </w:r>
    </w:p>
    <w:p w14:paraId="22E1D61F" w14:textId="77777777" w:rsidR="009C4607" w:rsidRPr="009C4607" w:rsidRDefault="009C4607" w:rsidP="009C4607">
      <w:pPr>
        <w:jc w:val="both"/>
        <w:rPr>
          <w:iCs/>
        </w:rPr>
      </w:pPr>
      <w:r w:rsidRPr="009C4607">
        <w:rPr>
          <w:iCs/>
        </w:rPr>
        <w:t xml:space="preserve"> </w:t>
      </w:r>
    </w:p>
    <w:p w14:paraId="4CE03070" w14:textId="320B576C" w:rsidR="009C4607" w:rsidRPr="009C4607" w:rsidRDefault="009C4607" w:rsidP="009C4607">
      <w:pPr>
        <w:jc w:val="both"/>
        <w:rPr>
          <w:iCs/>
        </w:rPr>
      </w:pPr>
      <w:r w:rsidRPr="00204E15">
        <w:rPr>
          <w:b/>
          <w:bCs/>
          <w:iCs/>
        </w:rPr>
        <w:t>Social aspects</w:t>
      </w:r>
      <w:r w:rsidRPr="009C4607">
        <w:rPr>
          <w:iCs/>
        </w:rPr>
        <w:t>:</w:t>
      </w:r>
      <w:r w:rsidR="00204E15">
        <w:rPr>
          <w:iCs/>
        </w:rPr>
        <w:t xml:space="preserve"> </w:t>
      </w:r>
      <w:r w:rsidR="00F04DF3">
        <w:rPr>
          <w:iCs/>
        </w:rPr>
        <w:t>A s</w:t>
      </w:r>
      <w:r w:rsidR="00204E15">
        <w:rPr>
          <w:iCs/>
        </w:rPr>
        <w:t>implif</w:t>
      </w:r>
      <w:r w:rsidR="00F04DF3">
        <w:rPr>
          <w:iCs/>
        </w:rPr>
        <w:t>ied</w:t>
      </w:r>
      <w:r w:rsidR="00204E15">
        <w:rPr>
          <w:iCs/>
        </w:rPr>
        <w:t xml:space="preserve"> access to the technologies underpinning the MPAI-EVC standard will offer end users undelayed use of the latest video compression technologies. </w:t>
      </w:r>
    </w:p>
    <w:p w14:paraId="4FAF15F9" w14:textId="77777777" w:rsidR="009C4607" w:rsidRPr="009C4607" w:rsidRDefault="009C4607" w:rsidP="009C4607">
      <w:pPr>
        <w:jc w:val="both"/>
        <w:rPr>
          <w:iCs/>
        </w:rPr>
      </w:pPr>
      <w:r w:rsidRPr="009C4607">
        <w:rPr>
          <w:iCs/>
        </w:rPr>
        <w:t xml:space="preserve"> </w:t>
      </w:r>
    </w:p>
    <w:p w14:paraId="0AEAD0C5" w14:textId="717F9C86" w:rsidR="009C4607" w:rsidRPr="009C4607" w:rsidRDefault="009C4607" w:rsidP="009C4607">
      <w:pPr>
        <w:jc w:val="both"/>
        <w:rPr>
          <w:iCs/>
        </w:rPr>
      </w:pPr>
      <w:r w:rsidRPr="00204E15">
        <w:rPr>
          <w:b/>
          <w:bCs/>
          <w:iCs/>
        </w:rPr>
        <w:t>Success criteria</w:t>
      </w:r>
      <w:r w:rsidRPr="009C4607">
        <w:rPr>
          <w:iCs/>
        </w:rPr>
        <w:t>:</w:t>
      </w:r>
      <w:r w:rsidR="00204E15">
        <w:rPr>
          <w:iCs/>
        </w:rPr>
        <w:t xml:space="preserve"> </w:t>
      </w:r>
      <w:r w:rsidR="00F04DF3">
        <w:rPr>
          <w:iCs/>
        </w:rPr>
        <w:t>MPAI becomes the bridge between traditional video codecs and fully AI-based video codes.</w:t>
      </w:r>
    </w:p>
    <w:p w14:paraId="6D57CAD7" w14:textId="77777777" w:rsidR="009C4607" w:rsidRPr="009C4607" w:rsidRDefault="009C4607" w:rsidP="009C4607">
      <w:pPr>
        <w:jc w:val="both"/>
        <w:rPr>
          <w:iCs/>
        </w:rPr>
      </w:pPr>
      <w:r w:rsidRPr="009C4607">
        <w:rPr>
          <w:iCs/>
        </w:rPr>
        <w:t xml:space="preserve"> </w:t>
      </w:r>
    </w:p>
    <w:p w14:paraId="5C0D7990" w14:textId="068E6CFC" w:rsidR="009C4607" w:rsidRPr="009C4607" w:rsidRDefault="009C4607" w:rsidP="009C4607">
      <w:pPr>
        <w:jc w:val="both"/>
        <w:rPr>
          <w:iCs/>
        </w:rPr>
      </w:pPr>
      <w:r w:rsidRPr="00204E15">
        <w:rPr>
          <w:b/>
          <w:bCs/>
          <w:iCs/>
        </w:rPr>
        <w:t>References</w:t>
      </w:r>
      <w:r w:rsidR="00204E15">
        <w:rPr>
          <w:iCs/>
        </w:rPr>
        <w:t>:</w:t>
      </w:r>
    </w:p>
    <w:p w14:paraId="0BFD730A" w14:textId="1CEBCA9C" w:rsidR="009C4607" w:rsidRPr="009C4607" w:rsidRDefault="009C4607" w:rsidP="009C4607">
      <w:pPr>
        <w:pStyle w:val="ListParagraph"/>
        <w:numPr>
          <w:ilvl w:val="0"/>
          <w:numId w:val="35"/>
        </w:numPr>
        <w:jc w:val="both"/>
        <w:rPr>
          <w:iCs/>
        </w:rPr>
      </w:pPr>
      <w:r w:rsidRPr="009C4607">
        <w:rPr>
          <w:iCs/>
        </w:rPr>
        <w:t>Roberto Iacoviello; Analysis of performance of AI based video codecs, October 2020</w:t>
      </w:r>
      <w:r w:rsidR="00204E15">
        <w:rPr>
          <w:iCs/>
        </w:rPr>
        <w:t xml:space="preserve">, submitted to MPAI incentive to use AI </w:t>
      </w:r>
    </w:p>
    <w:p w14:paraId="270BC85B" w14:textId="6F35DA56" w:rsidR="009C4607" w:rsidRDefault="009C4607" w:rsidP="009C4607">
      <w:pPr>
        <w:pStyle w:val="ListParagraph"/>
        <w:numPr>
          <w:ilvl w:val="0"/>
          <w:numId w:val="35"/>
        </w:numPr>
        <w:jc w:val="both"/>
        <w:rPr>
          <w:iCs/>
        </w:rPr>
      </w:pPr>
      <w:r w:rsidRPr="009C4607">
        <w:rPr>
          <w:iCs/>
        </w:rPr>
        <w:t xml:space="preserve">W. C. Lee, C. P. Chang, W. H. Peng, and H. M. Hang, "A Hybrid-based Layered Image Compressor," </w:t>
      </w:r>
      <w:r w:rsidRPr="009C4607">
        <w:rPr>
          <w:i/>
        </w:rPr>
        <w:t>IEEE International Workshop on Multimedia Signal Processing (MMSP)</w:t>
      </w:r>
      <w:r w:rsidRPr="009C4607">
        <w:rPr>
          <w:iCs/>
        </w:rPr>
        <w:t>, Sep. 2020.</w:t>
      </w:r>
    </w:p>
    <w:p w14:paraId="0005FCA6" w14:textId="5A875648" w:rsidR="000B28B5" w:rsidRDefault="000B28B5" w:rsidP="000B28B5">
      <w:pPr>
        <w:pStyle w:val="ListParagraph"/>
        <w:numPr>
          <w:ilvl w:val="0"/>
          <w:numId w:val="35"/>
        </w:numPr>
        <w:jc w:val="both"/>
        <w:rPr>
          <w:iCs/>
        </w:rPr>
      </w:pPr>
      <w:r>
        <w:rPr>
          <w:iCs/>
        </w:rPr>
        <w:t>Luca Marchese, “</w:t>
      </w:r>
      <w:r w:rsidRPr="000B28B5">
        <w:rPr>
          <w:iCs/>
        </w:rPr>
        <w:t>The Internet Search Engines Based on Artificial Neural Systems Implemented in Hardware would Enable a Powerful and Flexible Context-Based Research of Professional and Scientific Documents</w:t>
      </w:r>
      <w:r>
        <w:rPr>
          <w:iCs/>
        </w:rPr>
        <w:t>”, 2015</w:t>
      </w:r>
    </w:p>
    <w:p w14:paraId="6727EC6B" w14:textId="5D01582B" w:rsidR="000B28B5" w:rsidRDefault="000B28B5" w:rsidP="00614089">
      <w:pPr>
        <w:pStyle w:val="ListParagraph"/>
        <w:numPr>
          <w:ilvl w:val="0"/>
          <w:numId w:val="35"/>
        </w:numPr>
        <w:rPr>
          <w:iCs/>
        </w:rPr>
      </w:pPr>
      <w:r w:rsidRPr="000B28B5">
        <w:rPr>
          <w:iCs/>
        </w:rPr>
        <w:t>NeuroStack</w:t>
      </w:r>
      <w:r>
        <w:rPr>
          <w:iCs/>
        </w:rPr>
        <w:t xml:space="preserve">,  </w:t>
      </w:r>
      <w:hyperlink r:id="rId11" w:history="1">
        <w:r w:rsidRPr="006F2DD5">
          <w:rPr>
            <w:rStyle w:val="Hyperlink"/>
            <w:iCs/>
          </w:rPr>
          <w:t>https://www.general-vision.com/documentation/TM_NeuroStack_Hardware_Manual.pdf</w:t>
        </w:r>
      </w:hyperlink>
    </w:p>
    <w:p w14:paraId="467C1FDD" w14:textId="1E1ECC4F" w:rsidR="000B28B5" w:rsidRDefault="00812026" w:rsidP="000B28B5">
      <w:pPr>
        <w:pStyle w:val="ListParagraph"/>
        <w:numPr>
          <w:ilvl w:val="0"/>
          <w:numId w:val="35"/>
        </w:numPr>
        <w:jc w:val="both"/>
        <w:rPr>
          <w:iCs/>
        </w:rPr>
      </w:pPr>
      <w:hyperlink r:id="rId12" w:history="1">
        <w:r w:rsidR="000B28B5" w:rsidRPr="006F2DD5">
          <w:rPr>
            <w:rStyle w:val="Hyperlink"/>
            <w:iCs/>
          </w:rPr>
          <w:t>https://www.analyticsinsight.net/why-fpga-is-better-than-gpus-for-ai-and-deep-learning-applications/</w:t>
        </w:r>
      </w:hyperlink>
    </w:p>
    <w:p w14:paraId="20B53562" w14:textId="1187388E" w:rsidR="00614089" w:rsidRDefault="008878C0" w:rsidP="000B28B5">
      <w:pPr>
        <w:pStyle w:val="ListParagraph"/>
        <w:numPr>
          <w:ilvl w:val="0"/>
          <w:numId w:val="35"/>
        </w:numPr>
        <w:jc w:val="both"/>
        <w:rPr>
          <w:iCs/>
        </w:rPr>
      </w:pPr>
      <w:r w:rsidRPr="008878C0">
        <w:rPr>
          <w:iCs/>
        </w:rPr>
        <w:t>N68 - MPAI-EVC Use Cases and Requirements</w:t>
      </w:r>
      <w:r w:rsidR="00614089">
        <w:rPr>
          <w:iCs/>
        </w:rPr>
        <w:t xml:space="preserve">, MPAI public document </w:t>
      </w:r>
      <w:r w:rsidR="00614089" w:rsidRPr="00614089">
        <w:rPr>
          <w:iCs/>
        </w:rPr>
        <w:t>N68</w:t>
      </w:r>
    </w:p>
    <w:p w14:paraId="7B0BA992" w14:textId="572A23FE" w:rsidR="000B28B5" w:rsidRPr="000B28B5" w:rsidRDefault="00125414" w:rsidP="000B28B5">
      <w:pPr>
        <w:pStyle w:val="ListParagraph"/>
        <w:numPr>
          <w:ilvl w:val="0"/>
          <w:numId w:val="35"/>
        </w:numPr>
        <w:jc w:val="both"/>
        <w:rPr>
          <w:iCs/>
        </w:rPr>
      </w:pPr>
      <w:r>
        <w:rPr>
          <w:iCs/>
        </w:rPr>
        <w:t>Operational Guidelines for MPAI-EVC Evidence Project</w:t>
      </w:r>
      <w:r w:rsidR="00614089">
        <w:rPr>
          <w:iCs/>
        </w:rPr>
        <w:t>, MPAI public document N70</w:t>
      </w:r>
    </w:p>
    <w:sectPr w:rsidR="000B28B5" w:rsidRPr="000B28B5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47386"/>
    <w:multiLevelType w:val="hybridMultilevel"/>
    <w:tmpl w:val="DC540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734C5"/>
    <w:multiLevelType w:val="hybridMultilevel"/>
    <w:tmpl w:val="6E448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A3AB5"/>
    <w:multiLevelType w:val="hybridMultilevel"/>
    <w:tmpl w:val="BEF8C5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43411"/>
    <w:multiLevelType w:val="hybridMultilevel"/>
    <w:tmpl w:val="4EA68F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A2F24"/>
    <w:multiLevelType w:val="hybridMultilevel"/>
    <w:tmpl w:val="59AA61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F1F4F00"/>
    <w:multiLevelType w:val="hybridMultilevel"/>
    <w:tmpl w:val="DC540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"/>
  </w:num>
  <w:num w:numId="3">
    <w:abstractNumId w:val="28"/>
  </w:num>
  <w:num w:numId="4">
    <w:abstractNumId w:val="9"/>
  </w:num>
  <w:num w:numId="5">
    <w:abstractNumId w:val="21"/>
  </w:num>
  <w:num w:numId="6">
    <w:abstractNumId w:val="36"/>
  </w:num>
  <w:num w:numId="7">
    <w:abstractNumId w:val="24"/>
  </w:num>
  <w:num w:numId="8">
    <w:abstractNumId w:val="3"/>
  </w:num>
  <w:num w:numId="9">
    <w:abstractNumId w:val="5"/>
  </w:num>
  <w:num w:numId="10">
    <w:abstractNumId w:val="14"/>
  </w:num>
  <w:num w:numId="11">
    <w:abstractNumId w:val="25"/>
  </w:num>
  <w:num w:numId="12">
    <w:abstractNumId w:val="16"/>
  </w:num>
  <w:num w:numId="13">
    <w:abstractNumId w:val="0"/>
  </w:num>
  <w:num w:numId="14">
    <w:abstractNumId w:val="11"/>
  </w:num>
  <w:num w:numId="15">
    <w:abstractNumId w:val="32"/>
  </w:num>
  <w:num w:numId="16">
    <w:abstractNumId w:val="15"/>
  </w:num>
  <w:num w:numId="17">
    <w:abstractNumId w:val="10"/>
  </w:num>
  <w:num w:numId="18">
    <w:abstractNumId w:val="6"/>
  </w:num>
  <w:num w:numId="19">
    <w:abstractNumId w:val="4"/>
  </w:num>
  <w:num w:numId="20">
    <w:abstractNumId w:val="12"/>
  </w:num>
  <w:num w:numId="21">
    <w:abstractNumId w:val="20"/>
  </w:num>
  <w:num w:numId="22">
    <w:abstractNumId w:val="29"/>
  </w:num>
  <w:num w:numId="23">
    <w:abstractNumId w:val="18"/>
  </w:num>
  <w:num w:numId="24">
    <w:abstractNumId w:val="27"/>
  </w:num>
  <w:num w:numId="25">
    <w:abstractNumId w:val="30"/>
  </w:num>
  <w:num w:numId="26">
    <w:abstractNumId w:val="1"/>
  </w:num>
  <w:num w:numId="27">
    <w:abstractNumId w:val="19"/>
  </w:num>
  <w:num w:numId="28">
    <w:abstractNumId w:val="31"/>
  </w:num>
  <w:num w:numId="29">
    <w:abstractNumId w:val="22"/>
  </w:num>
  <w:num w:numId="30">
    <w:abstractNumId w:val="8"/>
  </w:num>
  <w:num w:numId="31">
    <w:abstractNumId w:val="35"/>
  </w:num>
  <w:num w:numId="32">
    <w:abstractNumId w:val="37"/>
  </w:num>
  <w:num w:numId="33">
    <w:abstractNumId w:val="34"/>
  </w:num>
  <w:num w:numId="34">
    <w:abstractNumId w:val="13"/>
  </w:num>
  <w:num w:numId="35">
    <w:abstractNumId w:val="17"/>
  </w:num>
  <w:num w:numId="36">
    <w:abstractNumId w:val="7"/>
  </w:num>
  <w:num w:numId="37">
    <w:abstractNumId w:val="26"/>
  </w:num>
  <w:num w:numId="3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E5"/>
    <w:rsid w:val="00002217"/>
    <w:rsid w:val="0001512E"/>
    <w:rsid w:val="00020C69"/>
    <w:rsid w:val="0002499C"/>
    <w:rsid w:val="00030AD0"/>
    <w:rsid w:val="00031CE5"/>
    <w:rsid w:val="00032A0E"/>
    <w:rsid w:val="000360D3"/>
    <w:rsid w:val="00045D8C"/>
    <w:rsid w:val="00054DA3"/>
    <w:rsid w:val="00057DA2"/>
    <w:rsid w:val="0006001F"/>
    <w:rsid w:val="00064720"/>
    <w:rsid w:val="000778F8"/>
    <w:rsid w:val="00080DAC"/>
    <w:rsid w:val="00093F5A"/>
    <w:rsid w:val="000A0992"/>
    <w:rsid w:val="000B28B5"/>
    <w:rsid w:val="000C5808"/>
    <w:rsid w:val="000D430D"/>
    <w:rsid w:val="000D58DC"/>
    <w:rsid w:val="000E5440"/>
    <w:rsid w:val="000E6185"/>
    <w:rsid w:val="000E6AA6"/>
    <w:rsid w:val="00104DD9"/>
    <w:rsid w:val="0010591A"/>
    <w:rsid w:val="00124211"/>
    <w:rsid w:val="00125414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04E15"/>
    <w:rsid w:val="00221F51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30631B"/>
    <w:rsid w:val="00306E83"/>
    <w:rsid w:val="00317A4B"/>
    <w:rsid w:val="0033190F"/>
    <w:rsid w:val="0035620C"/>
    <w:rsid w:val="003573DE"/>
    <w:rsid w:val="0036721F"/>
    <w:rsid w:val="00371EC2"/>
    <w:rsid w:val="00373451"/>
    <w:rsid w:val="00384C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55A1F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44AE"/>
    <w:rsid w:val="005D561E"/>
    <w:rsid w:val="005E1400"/>
    <w:rsid w:val="005E40CA"/>
    <w:rsid w:val="0060019F"/>
    <w:rsid w:val="006074A9"/>
    <w:rsid w:val="00614089"/>
    <w:rsid w:val="0061679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174D7"/>
    <w:rsid w:val="00720644"/>
    <w:rsid w:val="007212F6"/>
    <w:rsid w:val="00727E5A"/>
    <w:rsid w:val="007320EA"/>
    <w:rsid w:val="00736AF1"/>
    <w:rsid w:val="0074220F"/>
    <w:rsid w:val="0074339D"/>
    <w:rsid w:val="00750503"/>
    <w:rsid w:val="007555FC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2026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0EBC"/>
    <w:rsid w:val="00875139"/>
    <w:rsid w:val="008757DF"/>
    <w:rsid w:val="008878C0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9638F"/>
    <w:rsid w:val="00996ED4"/>
    <w:rsid w:val="009A6B7C"/>
    <w:rsid w:val="009B7467"/>
    <w:rsid w:val="009C2439"/>
    <w:rsid w:val="009C3B82"/>
    <w:rsid w:val="009C4607"/>
    <w:rsid w:val="009D0066"/>
    <w:rsid w:val="009D2F2A"/>
    <w:rsid w:val="009D67CD"/>
    <w:rsid w:val="009E5C91"/>
    <w:rsid w:val="009F559E"/>
    <w:rsid w:val="00A147C7"/>
    <w:rsid w:val="00A16FD7"/>
    <w:rsid w:val="00A20032"/>
    <w:rsid w:val="00A217F3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90EDB"/>
    <w:rsid w:val="00BB53D3"/>
    <w:rsid w:val="00BC6A1B"/>
    <w:rsid w:val="00BD1631"/>
    <w:rsid w:val="00BD4E34"/>
    <w:rsid w:val="00BE11F7"/>
    <w:rsid w:val="00C00A61"/>
    <w:rsid w:val="00C10A59"/>
    <w:rsid w:val="00C117CF"/>
    <w:rsid w:val="00C36503"/>
    <w:rsid w:val="00C433F5"/>
    <w:rsid w:val="00C530BD"/>
    <w:rsid w:val="00C666E8"/>
    <w:rsid w:val="00C75099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9683F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9347A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4DF3"/>
    <w:rsid w:val="00F06FB8"/>
    <w:rsid w:val="00F07785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9FA71"/>
  <w15:chartTrackingRefBased/>
  <w15:docId w15:val="{643AE351-6575-47F6-A064-CA7D9521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styleId="Revision">
    <w:name w:val="Revision"/>
    <w:hidden/>
    <w:uiPriority w:val="99"/>
    <w:semiHidden/>
    <w:rsid w:val="00455A1F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analyticsinsight.net/why-fpga-is-better-than-gpus-for-ai-and-deep-learning-applicati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eneral-vision.com/documentation/TM_NeuroStack_Hardware_Manual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7B2C8-4867-4DC9-854E-72ED2D1C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22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CEDEO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5</cp:revision>
  <dcterms:created xsi:type="dcterms:W3CDTF">2020-11-16T20:51:00Z</dcterms:created>
  <dcterms:modified xsi:type="dcterms:W3CDTF">2020-11-18T08:55:00Z</dcterms:modified>
</cp:coreProperties>
</file>