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5pt;height:56.45pt" o:ole="">
                  <v:imagedata r:id="rId6" o:title=""/>
                </v:shape>
                <o:OLEObject Type="Embed" ProgID="PBrush" ShapeID="_x0000_i1025" DrawAspect="Content" ObjectID="_1688237897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6FC6D644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A92DEB">
              <w:rPr>
                <w:b/>
                <w:bCs/>
              </w:rPr>
              <w:t>2</w:t>
            </w:r>
            <w:r w:rsidR="00A50B0E">
              <w:rPr>
                <w:b/>
                <w:bCs/>
              </w:rPr>
              <w:t>84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45CA4028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A50B0E">
              <w:t>7</w:t>
            </w:r>
            <w:r w:rsidR="00B81E8E">
              <w:t>/</w:t>
            </w:r>
            <w:r w:rsidR="00A50B0E">
              <w:t>1</w:t>
            </w:r>
            <w:r w:rsidR="006B6380">
              <w:t>9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421E5FC9" w:rsidR="003D2DDB" w:rsidRDefault="00712AB2" w:rsidP="007F2E7F">
            <w:r>
              <w:t xml:space="preserve">General Assembly </w:t>
            </w:r>
            <w:r w:rsidR="004877A2">
              <w:t>#</w:t>
            </w:r>
            <w:r w:rsidR="00A50B0E">
              <w:t>10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A50B0E">
              <w:t>10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6E282B9C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161DFD1B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5F7D9931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31434589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5CB5BB5E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 xml:space="preserve">is approved by the General Assembly after its </w:t>
            </w:r>
            <w:r w:rsidRPr="00D86D01">
              <w:t xml:space="preserve">has been successfully completed </w:t>
            </w:r>
            <w:r w:rsidR="004877A2">
              <w:t xml:space="preserve">and approved by the DC </w:t>
            </w:r>
            <w:r w:rsidRPr="00D86D01">
              <w:t>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55E01C96" w14:textId="5D1805EA" w:rsidR="00066468" w:rsidRDefault="00066468" w:rsidP="006E0377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9554D">
        <w:t>10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758D66C2" w:rsidR="00694761" w:rsidRDefault="002410A7" w:rsidP="00694761">
      <w:pPr>
        <w:jc w:val="center"/>
      </w:pPr>
      <w:r>
        <w:rPr>
          <w:noProof/>
        </w:rPr>
        <w:drawing>
          <wp:inline distT="0" distB="0" distL="0" distR="0" wp14:anchorId="5F203BF7" wp14:editId="17E98B30">
            <wp:extent cx="5932805" cy="1521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1BA01239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2A25B6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bookmarkStart w:id="4" w:name="_Hlk70788687"/>
      <w:bookmarkEnd w:id="0"/>
      <w:bookmarkEnd w:id="3"/>
      <w:r>
        <w:lastRenderedPageBreak/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465DDA90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</w:t>
      </w:r>
      <w:r w:rsidR="00464755">
        <w:t>,</w:t>
      </w:r>
      <w:r w:rsidR="00987C93">
        <w:t xml:space="preserve"> if the need will arise.</w:t>
      </w:r>
    </w:p>
    <w:p w14:paraId="769A3CBD" w14:textId="7DCD6D50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</w:t>
      </w:r>
      <w:r w:rsidR="00464755">
        <w:t xml:space="preserve"> potentially</w:t>
      </w:r>
      <w:r w:rsidR="007E1109">
        <w:t xml:space="preserve">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069C0447" w:rsidR="003A2D8F" w:rsidRDefault="00DF4365" w:rsidP="000B3CA3">
      <w:pPr>
        <w:jc w:val="center"/>
      </w:pPr>
      <w:r>
        <w:rPr>
          <w:noProof/>
        </w:rPr>
        <w:drawing>
          <wp:inline distT="0" distB="0" distL="0" distR="0" wp14:anchorId="2A5CCD38" wp14:editId="4539A460">
            <wp:extent cx="5937885" cy="1510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1C0E31E7" w:rsidR="003A2D8F" w:rsidRDefault="003A2D8F" w:rsidP="003A2D8F">
      <w:pPr>
        <w:jc w:val="center"/>
        <w:rPr>
          <w:i/>
          <w:iCs/>
        </w:rPr>
      </w:pPr>
      <w:bookmarkStart w:id="5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2A25B6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5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0B131D0A" w:rsidR="00E86C64" w:rsidRDefault="00464755" w:rsidP="00E86C64">
      <w:pPr>
        <w:jc w:val="both"/>
      </w:pPr>
      <w:r>
        <w:t xml:space="preserve">Public </w:t>
      </w:r>
      <w:r w:rsidR="00E86C64">
        <w:t>MPAI documents supporting the MPAI-AIF project at the current stage are:</w:t>
      </w:r>
    </w:p>
    <w:p w14:paraId="01AB9359" w14:textId="6D510B71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2A25B6">
        <w:t>1</w:t>
      </w:r>
      <w:r w:rsidR="0065175D">
        <w:fldChar w:fldCharType="end"/>
      </w:r>
      <w:r w:rsidR="00E86C64">
        <w:t>]</w:t>
      </w:r>
    </w:p>
    <w:p w14:paraId="2E406379" w14:textId="2062D982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2A25B6">
        <w:t>2</w:t>
      </w:r>
      <w:r w:rsidR="0065175D">
        <w:fldChar w:fldCharType="end"/>
      </w:r>
      <w:r>
        <w:t>]</w:t>
      </w:r>
    </w:p>
    <w:p w14:paraId="7734DDE4" w14:textId="74B4C67E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2A25B6">
        <w:t>3</w:t>
      </w:r>
      <w:r w:rsidR="0065175D">
        <w:fldChar w:fldCharType="end"/>
      </w:r>
      <w:r>
        <w:t>]</w:t>
      </w:r>
    </w:p>
    <w:p w14:paraId="2454E828" w14:textId="1E5C97C8" w:rsidR="0065175D" w:rsidRDefault="0065175D" w:rsidP="0065175D">
      <w:r>
        <w:t xml:space="preserve">Stage 6 is expected to be reached in </w:t>
      </w:r>
      <w:r w:rsidR="00342B7A">
        <w:t>October</w:t>
      </w:r>
      <w:r>
        <w:t xml:space="preserve"> 2021.</w:t>
      </w:r>
    </w:p>
    <w:p w14:paraId="6137A853" w14:textId="77777777" w:rsidR="00504122" w:rsidRDefault="00504122" w:rsidP="0065175D"/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7FABEFEB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6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 xml:space="preserve">Ms, and </w:t>
      </w:r>
      <w:r w:rsidR="008B4822">
        <w:t xml:space="preserve">potentially </w:t>
      </w:r>
      <w:r w:rsidR="007E1109">
        <w:t>deliver the processed output via the most appropriate prot</w:t>
      </w:r>
      <w:r w:rsidR="008B4822">
        <w:softHyphen/>
      </w:r>
      <w:r w:rsidR="007E1109">
        <w:t>ocol.</w:t>
      </w:r>
    </w:p>
    <w:p w14:paraId="555D3903" w14:textId="5A4C0AAE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</w:t>
      </w:r>
      <w:r w:rsidR="008B4822">
        <w:softHyphen/>
      </w:r>
      <w:r w:rsidR="00DF4365">
        <w:t>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</w:t>
      </w:r>
      <w:r w:rsidR="002B6E43">
        <w:softHyphen/>
      </w:r>
      <w:r w:rsidR="00DF4365">
        <w:t>otion enhanced speech Use Case</w:t>
      </w:r>
      <w:r>
        <w:rPr>
          <w:color w:val="000000" w:themeColor="text1"/>
        </w:rPr>
        <w:t>.</w:t>
      </w:r>
    </w:p>
    <w:p w14:paraId="3175A89C" w14:textId="77777777" w:rsidR="007A4ED5" w:rsidRDefault="007A4ED5" w:rsidP="007A4ED5">
      <w:pPr>
        <w:jc w:val="both"/>
      </w:pPr>
      <w:r>
        <w:t>MPAI documents supporting the MPAI-CAE project at the current stage are:</w:t>
      </w:r>
    </w:p>
    <w:p w14:paraId="09D22C56" w14:textId="5F618D29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Requirements, </w:t>
      </w:r>
      <w:r w:rsidRPr="00F0439A">
        <w:t>N</w:t>
      </w:r>
      <w:r>
        <w:t>151 [</w:t>
      </w:r>
      <w:r>
        <w:fldChar w:fldCharType="begin"/>
      </w:r>
      <w:r>
        <w:instrText xml:space="preserve"> REF _Ref64197723 \r \h  \* MERGEFORMAT </w:instrText>
      </w:r>
      <w:r>
        <w:fldChar w:fldCharType="separate"/>
      </w:r>
      <w:r w:rsidR="002A25B6">
        <w:t>4</w:t>
      </w:r>
      <w:r>
        <w:fldChar w:fldCharType="end"/>
      </w:r>
      <w:r>
        <w:t>]</w:t>
      </w:r>
    </w:p>
    <w:p w14:paraId="5EFB938A" w14:textId="21686CD8" w:rsidR="007A4ED5" w:rsidRDefault="007A4ED5" w:rsidP="007A4ED5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>
        <w:t>52 [</w:t>
      </w:r>
      <w:r>
        <w:fldChar w:fldCharType="begin"/>
      </w:r>
      <w:r>
        <w:instrText xml:space="preserve"> REF _Ref64215789 \r \h  \* MERGEFORMAT </w:instrText>
      </w:r>
      <w:r>
        <w:fldChar w:fldCharType="separate"/>
      </w:r>
      <w:r w:rsidR="002A25B6">
        <w:t>5</w:t>
      </w:r>
      <w:r>
        <w:fldChar w:fldCharType="end"/>
      </w:r>
      <w:r>
        <w:t xml:space="preserve">] </w:t>
      </w:r>
    </w:p>
    <w:p w14:paraId="74580D17" w14:textId="60AC8B90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>MPAI-CAE Framework Licence, N171 [</w:t>
      </w:r>
      <w:r>
        <w:fldChar w:fldCharType="begin"/>
      </w:r>
      <w:r>
        <w:instrText xml:space="preserve"> REF _Ref64197752 \r \h  \* MERGEFORMAT </w:instrText>
      </w:r>
      <w:r>
        <w:fldChar w:fldCharType="separate"/>
      </w:r>
      <w:r w:rsidR="002A25B6">
        <w:t>6</w:t>
      </w:r>
      <w:r>
        <w:fldChar w:fldCharType="end"/>
      </w:r>
      <w:r>
        <w:t>]</w:t>
      </w:r>
    </w:p>
    <w:p w14:paraId="24CF99FD" w14:textId="2AE1F68A" w:rsidR="00342B7A" w:rsidRDefault="00342B7A" w:rsidP="00342B7A">
      <w:r>
        <w:t xml:space="preserve">Stage 6 is expected to be reached in </w:t>
      </w:r>
      <w:r w:rsidR="00CF0924">
        <w:t>Septem</w:t>
      </w:r>
      <w:r>
        <w:t>ber 2021.</w:t>
      </w:r>
    </w:p>
    <w:bookmarkEnd w:id="6"/>
    <w:p w14:paraId="3AABA88D" w14:textId="77EE41CA" w:rsidR="003A5A37" w:rsidRDefault="009A7EF7" w:rsidP="00127C9F">
      <w:pPr>
        <w:jc w:val="center"/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0A5EE4C3" wp14:editId="757AC269">
            <wp:extent cx="5685155" cy="28448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63BF2F48" w:rsidR="006A5023" w:rsidRDefault="006A5023" w:rsidP="006A5023">
      <w:pPr>
        <w:jc w:val="center"/>
        <w:rPr>
          <w:i/>
          <w:lang w:val="en-US"/>
        </w:rPr>
      </w:pPr>
      <w:bookmarkStart w:id="7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3</w:t>
      </w:r>
      <w:r>
        <w:fldChar w:fldCharType="end"/>
      </w:r>
      <w:bookmarkEnd w:id="7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8" w:name="_Hlk55037977"/>
      <w:r w:rsidRPr="00746DE7">
        <w:rPr>
          <w:u w:val="single"/>
        </w:rPr>
        <w:t>Multi-modal conversation</w:t>
      </w:r>
      <w:r>
        <w:t xml:space="preserve"> (</w:t>
      </w:r>
      <w:bookmarkStart w:id="9" w:name="_Hlk53306664"/>
      <w:r>
        <w:t>MPAI-MMC</w:t>
      </w:r>
      <w:bookmarkEnd w:id="9"/>
      <w:r>
        <w:t xml:space="preserve">) </w:t>
      </w:r>
      <w:bookmarkStart w:id="10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10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1D90EFDE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1DD5F4AB" w:rsidR="00B07346" w:rsidRDefault="00F34DAF" w:rsidP="00B07346">
      <w:pPr>
        <w:jc w:val="center"/>
        <w:rPr>
          <w:i/>
          <w:lang w:val="en-US"/>
        </w:rPr>
      </w:pPr>
      <w:bookmarkStart w:id="11" w:name="_Ref53307201"/>
      <w:bookmarkEnd w:id="8"/>
      <w:r>
        <w:rPr>
          <w:rFonts w:eastAsia="Times New Roman"/>
          <w:noProof/>
          <w:lang w:eastAsia="en-GB"/>
        </w:rPr>
        <w:drawing>
          <wp:inline distT="0" distB="0" distL="0" distR="0" wp14:anchorId="3417FB7F" wp14:editId="1717F388">
            <wp:extent cx="5935345" cy="2546985"/>
            <wp:effectExtent l="0" t="0" r="8255" b="5715"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196BACE3" w:rsidR="00B07346" w:rsidRDefault="00B07346" w:rsidP="00B07346">
      <w:pPr>
        <w:jc w:val="center"/>
        <w:rPr>
          <w:i/>
          <w:lang w:val="en-US"/>
        </w:rPr>
      </w:pPr>
      <w:bookmarkStart w:id="12" w:name="_Ref58691628"/>
      <w:bookmarkEnd w:id="11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4</w:t>
      </w:r>
      <w:r>
        <w:fldChar w:fldCharType="end"/>
      </w:r>
      <w:bookmarkEnd w:id="12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68C16C63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2A25B6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42342375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2A25B6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4929C110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2A25B6">
        <w:t>9</w:t>
      </w:r>
      <w:r w:rsidR="000F1C22">
        <w:fldChar w:fldCharType="end"/>
      </w:r>
      <w:r w:rsidR="000F1C22">
        <w:t>]</w:t>
      </w:r>
    </w:p>
    <w:p w14:paraId="2E42D4F8" w14:textId="6DE25828" w:rsidR="00CF0924" w:rsidRDefault="00CF0924" w:rsidP="00CF0924">
      <w:r>
        <w:t>Stage 6 is expected to be reached in September 2021.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lastRenderedPageBreak/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72D894E3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61BDA6FB" w:rsidR="00B07346" w:rsidRPr="00871EFB" w:rsidRDefault="00B85E63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74A4C34" wp14:editId="4EAD19A5">
            <wp:extent cx="5937250" cy="24384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34DE8A2E" w:rsidR="00B07346" w:rsidRDefault="00B07346" w:rsidP="00B07346">
      <w:pPr>
        <w:jc w:val="center"/>
        <w:rPr>
          <w:i/>
          <w:lang w:val="en-US"/>
        </w:rPr>
      </w:pPr>
      <w:bookmarkStart w:id="13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73A473F8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2A25B6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3F3814AB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2A25B6">
        <w:t>11</w:t>
      </w:r>
      <w:r>
        <w:fldChar w:fldCharType="end"/>
      </w:r>
      <w:r w:rsidRPr="005B6668">
        <w:t>]</w:t>
      </w:r>
    </w:p>
    <w:p w14:paraId="549C25C3" w14:textId="1826BC08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2A25B6">
        <w:t>12</w:t>
      </w:r>
      <w:r>
        <w:fldChar w:fldCharType="end"/>
      </w:r>
      <w:r>
        <w:t>]</w:t>
      </w:r>
    </w:p>
    <w:p w14:paraId="6E3C2616" w14:textId="321E0A47" w:rsidR="006E58FE" w:rsidRDefault="006E58FE" w:rsidP="006E58FE">
      <w:r>
        <w:t>Stage 6 is expected to be reached in July 2021.</w:t>
      </w:r>
    </w:p>
    <w:p w14:paraId="098D1F10" w14:textId="77777777" w:rsidR="006E58FE" w:rsidRDefault="006E58FE" w:rsidP="006E58FE">
      <w:pPr>
        <w:jc w:val="both"/>
      </w:pP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8B4822"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59DCF99A" w:rsidR="008B4822" w:rsidRDefault="008B4822" w:rsidP="008B4822">
      <w:r>
        <w:fldChar w:fldCharType="begin"/>
      </w:r>
      <w:r>
        <w:instrText xml:space="preserve"> REF _Ref62226875 \h </w:instrText>
      </w:r>
      <w:r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09DF5214" w14:textId="77777777" w:rsidR="00504122" w:rsidRDefault="00504122" w:rsidP="00504122">
      <w:r>
        <w:t>Public MPAI document supporting the MPAI-SPG work area is:</w:t>
      </w:r>
    </w:p>
    <w:p w14:paraId="575C8D60" w14:textId="493E4236" w:rsidR="00504122" w:rsidRPr="00683505" w:rsidRDefault="00504122" w:rsidP="0050412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 w:rsidRPr="00C0706C">
        <w:t>MPAI-</w:t>
      </w:r>
      <w:r>
        <w:t>SPG</w:t>
      </w:r>
      <w:r w:rsidRPr="00C0706C">
        <w:t xml:space="preserve"> Use Cases and Functional Requirement</w:t>
      </w:r>
      <w:r>
        <w:t>, N214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2A25B6">
        <w:t>14</w:t>
      </w:r>
      <w:r>
        <w:fldChar w:fldCharType="end"/>
      </w:r>
      <w:r>
        <w:t>]</w:t>
      </w:r>
    </w:p>
    <w:p w14:paraId="14A879FD" w14:textId="77777777" w:rsidR="00504122" w:rsidRPr="00683505" w:rsidRDefault="00504122" w:rsidP="00504122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t xml:space="preserve">MPAI </w:t>
      </w:r>
      <w:r>
        <w:rPr>
          <w:color w:val="000000" w:themeColor="text1"/>
        </w:rPr>
        <w:t>is currently engaged in the MPAI-SPG Design Verification Project.</w:t>
      </w:r>
    </w:p>
    <w:p w14:paraId="1EEA4D7E" w14:textId="77777777" w:rsidR="00504122" w:rsidRPr="00504122" w:rsidRDefault="00504122" w:rsidP="008B4822">
      <w:pPr>
        <w:rPr>
          <w:lang w:val="en-US"/>
        </w:rPr>
      </w:pPr>
    </w:p>
    <w:p w14:paraId="7D55B31C" w14:textId="77777777" w:rsidR="008B4822" w:rsidRDefault="008B4822" w:rsidP="008B4822"/>
    <w:bookmarkEnd w:id="15"/>
    <w:p w14:paraId="5BC54117" w14:textId="6C3B81CC" w:rsidR="008B4822" w:rsidRDefault="007A4ED5" w:rsidP="008B4822">
      <w:pPr>
        <w:jc w:val="center"/>
      </w:pPr>
      <w:r>
        <w:rPr>
          <w:noProof/>
        </w:rPr>
        <w:lastRenderedPageBreak/>
        <w:drawing>
          <wp:inline distT="0" distB="0" distL="0" distR="0" wp14:anchorId="598D56DA" wp14:editId="5CA976B2">
            <wp:extent cx="5935345" cy="2184400"/>
            <wp:effectExtent l="0" t="0" r="825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47D092ED" w:rsidR="008B4822" w:rsidRDefault="008B4822" w:rsidP="00527788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</w:t>
      </w:r>
      <w:r w:rsidR="00147FE2">
        <w:t>–</w:t>
      </w:r>
      <w:r w:rsidR="00147FE2">
        <w:rPr>
          <w:i/>
          <w:lang w:val="en-US"/>
        </w:rPr>
        <w:t xml:space="preserve"> The </w:t>
      </w:r>
      <w:r w:rsidR="00147FE2" w:rsidRPr="006A5023">
        <w:rPr>
          <w:i/>
          <w:lang w:val="en-US"/>
        </w:rPr>
        <w:t>MPAI-</w:t>
      </w:r>
      <w:r w:rsidR="00147FE2">
        <w:rPr>
          <w:i/>
          <w:lang w:val="en-US"/>
        </w:rPr>
        <w:t>CUI Use Case</w:t>
      </w:r>
    </w:p>
    <w:p w14:paraId="722C63F2" w14:textId="77777777" w:rsidR="008B4822" w:rsidRDefault="008B4822" w:rsidP="008B4822"/>
    <w:bookmarkEnd w:id="16"/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F2E3C2E" w14:textId="77777777" w:rsidR="002410A7" w:rsidRDefault="002410A7" w:rsidP="002410A7">
      <w:pPr>
        <w:jc w:val="both"/>
      </w:pPr>
      <w:r>
        <w:t>MPAI documents supporting the MPAI-GSA project at the current stage are:</w:t>
      </w:r>
    </w:p>
    <w:p w14:paraId="18DB468D" w14:textId="2659107B" w:rsidR="002410A7" w:rsidRPr="002410A7" w:rsidRDefault="002410A7" w:rsidP="002410A7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194 [</w:t>
      </w:r>
      <w:r>
        <w:fldChar w:fldCharType="begin"/>
      </w:r>
      <w:r>
        <w:instrText xml:space="preserve"> REF _Ref66617321 \r \h </w:instrText>
      </w:r>
      <w:r>
        <w:fldChar w:fldCharType="separate"/>
      </w:r>
      <w:r>
        <w:t>13</w:t>
      </w:r>
      <w:r>
        <w:fldChar w:fldCharType="end"/>
      </w:r>
      <w:r>
        <w:t>].</w:t>
      </w:r>
    </w:p>
    <w:p w14:paraId="29DDB45F" w14:textId="5A15FEC2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7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79201F81" w:rsidR="005F7CA2" w:rsidRDefault="001E1316" w:rsidP="005F7CA2">
      <w:pPr>
        <w:jc w:val="center"/>
      </w:pPr>
      <w:r>
        <w:rPr>
          <w:noProof/>
        </w:rPr>
        <w:drawing>
          <wp:inline distT="0" distB="0" distL="0" distR="0" wp14:anchorId="07BAB48F" wp14:editId="4A214350">
            <wp:extent cx="5934710" cy="344487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3ACBB2AD" w:rsidR="00D86D01" w:rsidRDefault="00D86D01" w:rsidP="00D86D01">
      <w:pPr>
        <w:jc w:val="center"/>
        <w:rPr>
          <w:i/>
          <w:lang w:val="en-US"/>
        </w:rPr>
      </w:pPr>
      <w:bookmarkStart w:id="19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26869173" w14:textId="7F42DE7B" w:rsidR="00712AB2" w:rsidRDefault="00712AB2" w:rsidP="00712AB2">
      <w:pPr>
        <w:pStyle w:val="Heading2"/>
      </w:pPr>
      <w:r>
        <w:lastRenderedPageBreak/>
        <w:t>MPAI-EV</w:t>
      </w:r>
      <w:r>
        <w:rPr>
          <w:lang w:val="en-GB"/>
        </w:rPr>
        <w:t>C</w:t>
      </w:r>
    </w:p>
    <w:p w14:paraId="24665EA6" w14:textId="7F0B3EE4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20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20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08102DBC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1DC9D1B7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2A25B6">
        <w:rPr>
          <w:i/>
          <w:lang w:val="en-US"/>
        </w:rPr>
        <w:t xml:space="preserve">Figure </w:t>
      </w:r>
      <w:r w:rsidR="002A25B6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246E0217" w:rsidR="000F1C22" w:rsidRDefault="000E347D" w:rsidP="000F1C22">
      <w:pPr>
        <w:jc w:val="center"/>
      </w:pPr>
      <w:r>
        <w:rPr>
          <w:noProof/>
        </w:rPr>
        <w:drawing>
          <wp:inline distT="0" distB="0" distL="0" distR="0" wp14:anchorId="2B52F1E4" wp14:editId="246C182D">
            <wp:extent cx="5940425" cy="1810385"/>
            <wp:effectExtent l="0" t="0" r="317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2D30" w14:textId="388186A6" w:rsidR="000F1C22" w:rsidRDefault="000F1C22" w:rsidP="000F1C22">
      <w:pPr>
        <w:jc w:val="center"/>
        <w:rPr>
          <w:i/>
          <w:lang w:val="en-US"/>
        </w:rPr>
      </w:pPr>
      <w:bookmarkStart w:id="22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A25B6">
        <w:rPr>
          <w:i/>
          <w:noProof/>
          <w:lang w:val="en-US"/>
        </w:rPr>
        <w:t>9</w:t>
      </w:r>
      <w:r>
        <w:fldChar w:fldCharType="end"/>
      </w:r>
      <w:bookmarkEnd w:id="22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034553A9" w14:textId="77777777" w:rsidR="00EB081E" w:rsidRDefault="00EB081E" w:rsidP="0055221B">
      <w:pPr>
        <w:jc w:val="both"/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41CD05E5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2A25B6">
        <w:t>15</w:t>
      </w:r>
      <w:r>
        <w:fldChar w:fldCharType="end"/>
      </w:r>
      <w:r>
        <w:t>]</w:t>
      </w:r>
    </w:p>
    <w:p w14:paraId="58C499E5" w14:textId="62ECAFB0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lastRenderedPageBreak/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2A25B6">
        <w:t>16</w:t>
      </w:r>
      <w:r w:rsidR="00683505">
        <w:fldChar w:fldCharType="end"/>
      </w:r>
      <w:r>
        <w:t>]</w:t>
      </w:r>
    </w:p>
    <w:p w14:paraId="74FA00EF" w14:textId="2A073C9C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2A25B6">
        <w:t>17</w:t>
      </w:r>
      <w:r w:rsidR="00683505">
        <w:fldChar w:fldCharType="end"/>
      </w:r>
      <w:r>
        <w:t>]</w:t>
      </w:r>
    </w:p>
    <w:p w14:paraId="4FBBCF9B" w14:textId="186A6A40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2A25B6">
        <w:t>18</w:t>
      </w:r>
      <w:r w:rsidR="00683505">
        <w:fldChar w:fldCharType="end"/>
      </w:r>
      <w:r>
        <w:t>]</w:t>
      </w:r>
    </w:p>
    <w:p w14:paraId="59976BCA" w14:textId="11E1DAB2" w:rsidR="007A4ED5" w:rsidRDefault="007A4ED5" w:rsidP="001E7B37">
      <w:pPr>
        <w:pStyle w:val="ListParagraph"/>
        <w:numPr>
          <w:ilvl w:val="0"/>
          <w:numId w:val="6"/>
        </w:numPr>
      </w:pPr>
      <w:r w:rsidRPr="007A4ED5">
        <w:t>Status report of MPAI-EVC Evidence Project</w:t>
      </w:r>
      <w:r>
        <w:t xml:space="preserve">, </w:t>
      </w:r>
      <w:r w:rsidRPr="007A4ED5">
        <w:t>N</w:t>
      </w:r>
      <w:r w:rsidR="00D85A44">
        <w:t>271</w:t>
      </w:r>
      <w:r>
        <w:t xml:space="preserve"> [</w:t>
      </w:r>
      <w:r>
        <w:fldChar w:fldCharType="begin"/>
      </w:r>
      <w:r>
        <w:instrText xml:space="preserve"> REF _Ref71385286 \r \h </w:instrText>
      </w:r>
      <w:r>
        <w:fldChar w:fldCharType="separate"/>
      </w:r>
      <w:r w:rsidR="002A25B6">
        <w:t>19</w:t>
      </w:r>
      <w:r>
        <w:fldChar w:fldCharType="end"/>
      </w:r>
      <w:r>
        <w:t>].</w:t>
      </w:r>
    </w:p>
    <w:p w14:paraId="551D01E0" w14:textId="77777777" w:rsidR="009500D4" w:rsidRDefault="009500D4" w:rsidP="009500D4"/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15E88811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</w:t>
      </w:r>
      <w:r w:rsidR="002A25B6">
        <w:t>5</w:t>
      </w:r>
      <w:r>
        <w:t xml:space="preserve"> main operating instances of a CAV:</w:t>
      </w:r>
    </w:p>
    <w:p w14:paraId="52A1C893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3" w:name="_Hlk72335575"/>
      <w:r w:rsidRPr="00CC4DB1">
        <w:rPr>
          <w:i/>
          <w:iCs/>
          <w:sz w:val="24"/>
          <w:szCs w:val="24"/>
        </w:rPr>
        <w:t>Human-CAV interaction</w:t>
      </w:r>
      <w:bookmarkEnd w:id="23"/>
      <w:r>
        <w:rPr>
          <w:i/>
          <w:iCs/>
          <w:sz w:val="24"/>
          <w:szCs w:val="24"/>
        </w:rPr>
        <w:t xml:space="preserve"> (HCI)</w:t>
      </w:r>
      <w:r w:rsidRPr="00CC4DB1">
        <w:rPr>
          <w:sz w:val="24"/>
          <w:szCs w:val="24"/>
        </w:rPr>
        <w:t>, i.e., the CAV subsystem that responds to humans’ com</w:t>
      </w:r>
      <w:r>
        <w:rPr>
          <w:sz w:val="24"/>
          <w:szCs w:val="24"/>
        </w:rPr>
        <w:softHyphen/>
      </w:r>
      <w:r w:rsidRPr="00CC4DB1">
        <w:rPr>
          <w:sz w:val="24"/>
          <w:szCs w:val="24"/>
        </w:rPr>
        <w:t>mands and queries, senses human activities in the CAV passenger compartment and activates other subsystems as required by humans or as deemed necessary by the identified conditions</w:t>
      </w:r>
      <w:r>
        <w:rPr>
          <w:sz w:val="24"/>
          <w:szCs w:val="24"/>
        </w:rPr>
        <w:t>.</w:t>
      </w:r>
    </w:p>
    <w:p w14:paraId="2398917C" w14:textId="77777777" w:rsidR="005C6B42" w:rsidRPr="00C41707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4" w:name="_Hlk73950458"/>
      <w:r w:rsidRPr="005B0D14">
        <w:rPr>
          <w:i/>
          <w:iCs/>
          <w:sz w:val="24"/>
          <w:szCs w:val="24"/>
        </w:rPr>
        <w:t>CAV</w:t>
      </w:r>
      <w:r>
        <w:rPr>
          <w:i/>
          <w:iCs/>
          <w:sz w:val="24"/>
          <w:szCs w:val="24"/>
        </w:rPr>
        <w:t>-</w:t>
      </w:r>
      <w:r w:rsidRPr="005B0D14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interaction</w:t>
      </w:r>
      <w:r>
        <w:rPr>
          <w:sz w:val="24"/>
          <w:szCs w:val="24"/>
        </w:rPr>
        <w:t>, i.e., the subsystem that acquires information from the physical environment via a variety of sensors.</w:t>
      </w:r>
    </w:p>
    <w:p w14:paraId="2F1212F9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Autonomous Motion</w:t>
      </w:r>
      <w:r>
        <w:rPr>
          <w:i/>
          <w:iCs/>
          <w:sz w:val="24"/>
          <w:szCs w:val="24"/>
        </w:rPr>
        <w:t xml:space="preserve"> Subsystem (AMS)</w:t>
      </w:r>
      <w:r w:rsidRPr="00CC4DB1">
        <w:rPr>
          <w:sz w:val="24"/>
          <w:szCs w:val="24"/>
        </w:rPr>
        <w:t xml:space="preserve">, i.e., the CAV subsystem that </w:t>
      </w:r>
      <w:r>
        <w:rPr>
          <w:sz w:val="24"/>
          <w:szCs w:val="24"/>
        </w:rPr>
        <w:t>uses different sources of information to instructs</w:t>
      </w:r>
      <w:r w:rsidRPr="00CC4DB1">
        <w:rPr>
          <w:sz w:val="24"/>
          <w:szCs w:val="24"/>
        </w:rPr>
        <w:t xml:space="preserve"> the CAV to </w:t>
      </w:r>
      <w:r>
        <w:rPr>
          <w:sz w:val="24"/>
          <w:szCs w:val="24"/>
        </w:rPr>
        <w:t xml:space="preserve">reach </w:t>
      </w:r>
      <w:r w:rsidRPr="00CC4DB1">
        <w:rPr>
          <w:sz w:val="24"/>
          <w:szCs w:val="24"/>
        </w:rPr>
        <w:t>the intended destination.</w:t>
      </w:r>
    </w:p>
    <w:p w14:paraId="636E9486" w14:textId="77777777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CAV-</w:t>
      </w:r>
      <w:r>
        <w:rPr>
          <w:i/>
          <w:iCs/>
          <w:sz w:val="24"/>
          <w:szCs w:val="24"/>
        </w:rPr>
        <w:t>Device</w:t>
      </w:r>
      <w:r w:rsidRPr="00CC4D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Pr="00CC4DB1">
        <w:rPr>
          <w:i/>
          <w:iCs/>
          <w:sz w:val="24"/>
          <w:szCs w:val="24"/>
        </w:rPr>
        <w:t>nteraction</w:t>
      </w:r>
      <w:r>
        <w:rPr>
          <w:i/>
          <w:iCs/>
          <w:sz w:val="24"/>
          <w:szCs w:val="24"/>
        </w:rPr>
        <w:t xml:space="preserve"> (CDI)</w:t>
      </w:r>
      <w:r w:rsidRPr="00CC4DB1">
        <w:rPr>
          <w:sz w:val="24"/>
          <w:szCs w:val="24"/>
        </w:rPr>
        <w:t>, i.e., the subsystem that communicates with sources of external information, including other CAVs, Roadside Units (RSU)</w:t>
      </w:r>
      <w:r>
        <w:rPr>
          <w:sz w:val="24"/>
          <w:szCs w:val="24"/>
        </w:rPr>
        <w:t>, other vehicles</w:t>
      </w:r>
      <w:r w:rsidRPr="00CC4DB1">
        <w:rPr>
          <w:sz w:val="24"/>
          <w:szCs w:val="24"/>
        </w:rPr>
        <w:t xml:space="preserve"> etc.</w:t>
      </w:r>
    </w:p>
    <w:bookmarkEnd w:id="24"/>
    <w:p w14:paraId="2444D01E" w14:textId="78B76483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96C12">
        <w:rPr>
          <w:i/>
          <w:iCs/>
          <w:sz w:val="24"/>
          <w:szCs w:val="24"/>
        </w:rPr>
        <w:t>Motion Actuation Subsystem (MAS)</w:t>
      </w:r>
      <w:r>
        <w:rPr>
          <w:sz w:val="24"/>
          <w:szCs w:val="24"/>
        </w:rPr>
        <w:t>, i.e.</w:t>
      </w:r>
      <w:r w:rsidR="002A25B6">
        <w:rPr>
          <w:sz w:val="24"/>
          <w:szCs w:val="24"/>
        </w:rPr>
        <w:t>,</w:t>
      </w:r>
      <w:r>
        <w:rPr>
          <w:sz w:val="24"/>
          <w:szCs w:val="24"/>
        </w:rPr>
        <w:t xml:space="preserve"> the subsystem that operates and actuates the motion instructions in the physical world.</w:t>
      </w:r>
    </w:p>
    <w:p w14:paraId="7EF0D6E7" w14:textId="46BE150D" w:rsidR="005C6B42" w:rsidRDefault="005C6B42" w:rsidP="005C6B4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interaction of the 5 subsystems in depicted in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_Ref76890391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A25B6" w:rsidRPr="00FC31AD">
        <w:rPr>
          <w:i/>
          <w:sz w:val="24"/>
          <w:szCs w:val="24"/>
        </w:rPr>
        <w:t xml:space="preserve">Figure </w:t>
      </w:r>
      <w:r w:rsidR="002A25B6">
        <w:rPr>
          <w:i/>
          <w:noProof/>
          <w:sz w:val="24"/>
          <w:szCs w:val="24"/>
        </w:rPr>
        <w:t>10</w:t>
      </w:r>
      <w:r>
        <w:rPr>
          <w:sz w:val="24"/>
          <w:szCs w:val="24"/>
        </w:rPr>
        <w:fldChar w:fldCharType="end"/>
      </w:r>
    </w:p>
    <w:p w14:paraId="78714B1C" w14:textId="77777777" w:rsidR="005C6B42" w:rsidRDefault="005C6B42" w:rsidP="005C6B42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89DF1C" wp14:editId="3541020D">
            <wp:extent cx="5934710" cy="2589530"/>
            <wp:effectExtent l="0" t="0" r="8890" b="127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04B" w14:textId="5544E6EE" w:rsidR="005C6B42" w:rsidRPr="00F25927" w:rsidRDefault="005C6B42" w:rsidP="005C6B42">
      <w:pPr>
        <w:pStyle w:val="CommentText"/>
        <w:jc w:val="center"/>
        <w:rPr>
          <w:iCs/>
          <w:sz w:val="24"/>
          <w:szCs w:val="24"/>
        </w:rPr>
      </w:pPr>
      <w:bookmarkStart w:id="25" w:name="_Ref76890391"/>
      <w:bookmarkStart w:id="26" w:name="_Ref76889410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2A25B6">
        <w:rPr>
          <w:i/>
          <w:noProof/>
          <w:sz w:val="24"/>
          <w:szCs w:val="24"/>
        </w:rPr>
        <w:t>10</w:t>
      </w:r>
      <w:r w:rsidRPr="00FC31AD">
        <w:rPr>
          <w:i/>
          <w:sz w:val="24"/>
          <w:szCs w:val="24"/>
        </w:rPr>
        <w:fldChar w:fldCharType="end"/>
      </w:r>
      <w:bookmarkEnd w:id="25"/>
      <w:r w:rsidRPr="00FC31AD">
        <w:rPr>
          <w:i/>
          <w:sz w:val="24"/>
          <w:szCs w:val="24"/>
        </w:rPr>
        <w:t xml:space="preserve"> – The </w:t>
      </w:r>
      <w:r>
        <w:rPr>
          <w:i/>
          <w:sz w:val="24"/>
          <w:szCs w:val="24"/>
        </w:rPr>
        <w:t>CAV subsystems</w:t>
      </w:r>
      <w:bookmarkEnd w:id="26"/>
    </w:p>
    <w:p w14:paraId="21F1493F" w14:textId="77777777" w:rsidR="00D85A44" w:rsidRDefault="00D85A44" w:rsidP="00D85A44">
      <w:pPr>
        <w:jc w:val="both"/>
      </w:pPr>
    </w:p>
    <w:p w14:paraId="4093B7E6" w14:textId="378D5508" w:rsidR="00D85A44" w:rsidRDefault="00D85A44" w:rsidP="00D85A44">
      <w:pPr>
        <w:jc w:val="both"/>
      </w:pPr>
      <w:r>
        <w:t>Approved public MPAI document supporting the MPAI-CAV work area is:</w:t>
      </w:r>
    </w:p>
    <w:p w14:paraId="7616FDFB" w14:textId="54801AB7" w:rsidR="00D85A44" w:rsidRPr="00A50B0E" w:rsidRDefault="00D85A44" w:rsidP="00D85A44">
      <w:pPr>
        <w:pStyle w:val="ListParagraph"/>
        <w:numPr>
          <w:ilvl w:val="0"/>
          <w:numId w:val="17"/>
        </w:numPr>
        <w:rPr>
          <w:lang w:val="it-IT"/>
        </w:rPr>
      </w:pPr>
      <w:r w:rsidRPr="00A50B0E">
        <w:rPr>
          <w:lang w:val="it-IT"/>
        </w:rPr>
        <w:t>MPAI Application Note #9 - MPAI-CAV, N2</w:t>
      </w:r>
      <w:r w:rsidR="003D0E99">
        <w:rPr>
          <w:lang w:val="it-IT"/>
        </w:rPr>
        <w:t>4</w:t>
      </w:r>
      <w:r w:rsidRPr="00A50B0E">
        <w:rPr>
          <w:lang w:val="it-IT"/>
        </w:rPr>
        <w:t>3 [</w:t>
      </w:r>
      <w:r>
        <w:fldChar w:fldCharType="begin"/>
      </w:r>
      <w:r w:rsidRPr="00A50B0E">
        <w:rPr>
          <w:lang w:val="it-IT"/>
        </w:rPr>
        <w:instrText xml:space="preserve"> REF _Ref71387552 \r \h </w:instrText>
      </w:r>
      <w:r>
        <w:fldChar w:fldCharType="separate"/>
      </w:r>
      <w:r w:rsidR="002A25B6">
        <w:rPr>
          <w:lang w:val="it-IT"/>
        </w:rPr>
        <w:t>20</w:t>
      </w:r>
      <w:r>
        <w:fldChar w:fldCharType="end"/>
      </w:r>
      <w:r w:rsidRPr="00A50B0E">
        <w:rPr>
          <w:lang w:val="it-IT"/>
        </w:rPr>
        <w:t>]</w:t>
      </w:r>
    </w:p>
    <w:p w14:paraId="54D2F5D6" w14:textId="53690237" w:rsidR="006C633E" w:rsidRDefault="006C633E" w:rsidP="00D85A44">
      <w:pPr>
        <w:pStyle w:val="ListParagraph"/>
        <w:numPr>
          <w:ilvl w:val="0"/>
          <w:numId w:val="17"/>
        </w:numPr>
      </w:pPr>
      <w:r w:rsidRPr="006C633E">
        <w:t>MPAI-CAV Use Cases and Functional Requirements</w:t>
      </w:r>
      <w:r>
        <w:t xml:space="preserve">, </w:t>
      </w:r>
      <w:r w:rsidRPr="006C633E">
        <w:t>N</w:t>
      </w:r>
      <w:r w:rsidR="00D1768D">
        <w:t>304</w:t>
      </w:r>
      <w:r>
        <w:t xml:space="preserve"> [</w:t>
      </w:r>
      <w:r>
        <w:fldChar w:fldCharType="begin"/>
      </w:r>
      <w:r>
        <w:instrText xml:space="preserve"> REF _Ref74169801 \r \h </w:instrText>
      </w:r>
      <w:r>
        <w:fldChar w:fldCharType="separate"/>
      </w:r>
      <w:r w:rsidR="002A25B6">
        <w:t>21</w:t>
      </w:r>
      <w:r>
        <w:fldChar w:fldCharType="end"/>
      </w:r>
      <w:r>
        <w:t>]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2ABAF001" w14:textId="77777777" w:rsidR="00F74B6D" w:rsidRDefault="00F74B6D" w:rsidP="00F74B6D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60962E41" w14:textId="77777777" w:rsidR="00F74B6D" w:rsidRDefault="00F74B6D" w:rsidP="00F74B6D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</w:p>
    <w:p w14:paraId="7C794FEC" w14:textId="77777777" w:rsidR="00F74B6D" w:rsidRDefault="00F74B6D" w:rsidP="00F74B6D">
      <w:pPr>
        <w:jc w:val="both"/>
      </w:pPr>
      <w:r>
        <w:t xml:space="preserve">Artificial intelligence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hronization etc..</w:t>
      </w:r>
    </w:p>
    <w:p w14:paraId="54FC088B" w14:textId="77777777" w:rsidR="00F74B6D" w:rsidRDefault="00F74B6D" w:rsidP="00F74B6D">
      <w:pPr>
        <w:jc w:val="both"/>
      </w:pPr>
      <w:r>
        <w:lastRenderedPageBreak/>
        <w:t>Approved MPAI document supporting the MPAI-MCS work area is:</w:t>
      </w:r>
    </w:p>
    <w:p w14:paraId="63E0A76B" w14:textId="1E978978" w:rsidR="00F74B6D" w:rsidRDefault="00F74B6D" w:rsidP="00F74B6D">
      <w:pPr>
        <w:pStyle w:val="ListParagraph"/>
        <w:numPr>
          <w:ilvl w:val="0"/>
          <w:numId w:val="18"/>
        </w:numPr>
      </w:pPr>
      <w:r>
        <w:t xml:space="preserve">Revised </w:t>
      </w:r>
      <w:r w:rsidRPr="0076691D">
        <w:t>MPAI Application Note #</w:t>
      </w:r>
      <w:r>
        <w:t>10</w:t>
      </w:r>
      <w:r w:rsidRPr="0076691D">
        <w:t xml:space="preserve"> - MPAI-</w:t>
      </w:r>
      <w:r>
        <w:t>MCS, N</w:t>
      </w:r>
      <w:r w:rsidR="00DC742A">
        <w:t>305</w:t>
      </w:r>
      <w:r>
        <w:t xml:space="preserve"> [</w:t>
      </w:r>
      <w:r>
        <w:fldChar w:fldCharType="begin"/>
      </w:r>
      <w:r>
        <w:instrText xml:space="preserve"> REF _Ref74169489 \r \h </w:instrText>
      </w:r>
      <w:r>
        <w:fldChar w:fldCharType="separate"/>
      </w:r>
      <w:r>
        <w:t>23</w:t>
      </w:r>
      <w:r>
        <w:fldChar w:fldCharType="end"/>
      </w:r>
      <w:r>
        <w:t>]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6CF95BFE" w14:textId="0C0D787B" w:rsidR="00930E4F" w:rsidRDefault="001E7B37" w:rsidP="00D85A44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</w:t>
      </w:r>
      <w:r w:rsidR="00930E4F">
        <w:t>93</w:t>
      </w:r>
      <w:r w:rsidR="00683505">
        <w:t xml:space="preserve"> [</w:t>
      </w:r>
      <w:r w:rsidR="006C633E">
        <w:fldChar w:fldCharType="begin"/>
      </w:r>
      <w:r w:rsidR="006C633E">
        <w:instrText xml:space="preserve"> REF _Ref74169827 \r \h </w:instrText>
      </w:r>
      <w:r w:rsidR="006C633E">
        <w:fldChar w:fldCharType="separate"/>
      </w:r>
      <w:r w:rsidR="002A25B6">
        <w:t>22</w:t>
      </w:r>
      <w:r w:rsidR="006C633E">
        <w:fldChar w:fldCharType="end"/>
      </w:r>
      <w:r w:rsidR="00683505">
        <w:t>]</w:t>
      </w:r>
    </w:p>
    <w:p w14:paraId="46845943" w14:textId="6F2A962C" w:rsidR="00D80D33" w:rsidRDefault="00D80D33" w:rsidP="00D80D33">
      <w:pPr>
        <w:pStyle w:val="Heading1"/>
      </w:pPr>
      <w:r>
        <w:t xml:space="preserve">Other </w:t>
      </w:r>
      <w:r w:rsidR="006A5023">
        <w:t xml:space="preserve">possible </w:t>
      </w:r>
      <w:r>
        <w:t>areas</w:t>
      </w:r>
    </w:p>
    <w:p w14:paraId="7309965D" w14:textId="432612DB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6C633E">
        <w:fldChar w:fldCharType="begin"/>
      </w:r>
      <w:r w:rsidR="006C633E">
        <w:instrText xml:space="preserve"> REF _Ref74169867 \r \h </w:instrText>
      </w:r>
      <w:r w:rsidR="006C633E">
        <w:fldChar w:fldCharType="separate"/>
      </w:r>
      <w:r w:rsidR="002A25B6">
        <w:t>24</w:t>
      </w:r>
      <w:r w:rsidR="006C633E">
        <w:fldChar w:fldCharType="end"/>
      </w:r>
      <w:r w:rsidR="00F03528">
        <w:t xml:space="preserve">]. </w:t>
      </w:r>
    </w:p>
    <w:p w14:paraId="127A3F4C" w14:textId="77777777" w:rsidR="00560A44" w:rsidRDefault="00560A44" w:rsidP="00560A44">
      <w:pPr>
        <w:pStyle w:val="Heading2"/>
      </w:pPr>
      <w:r w:rsidRPr="00D32B9C">
        <w:t>Vision-to-Sound Transformation</w:t>
      </w:r>
    </w:p>
    <w:p w14:paraId="76DAFB95" w14:textId="77777777" w:rsidR="00560A44" w:rsidRPr="00D32B9C" w:rsidRDefault="00560A44" w:rsidP="00560A4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3E43CE2D" w14:textId="2582E6D9" w:rsidR="003041D6" w:rsidRDefault="003041D6" w:rsidP="003041D6">
      <w:pPr>
        <w:pStyle w:val="Heading2"/>
      </w:pPr>
      <w:r w:rsidRPr="003041D6"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26AE3A32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7" w:name="_Ref61263217"/>
      <w:bookmarkStart w:id="28" w:name="_Ref61263173"/>
      <w:bookmarkStart w:id="29" w:name="_Ref62225206"/>
      <w:r w:rsidRPr="00CC5105">
        <w:t xml:space="preserve">MPAI-AIF Use Cases &amp; Functional Requirements, N74; </w:t>
      </w:r>
      <w:bookmarkEnd w:id="27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https://mpai.community/standards/mpai-aif/#UCFR</w:t>
      </w:r>
      <w:r w:rsidR="00AD503D">
        <w:fldChar w:fldCharType="end"/>
      </w:r>
      <w:r w:rsidR="00AD503D">
        <w:t xml:space="preserve"> </w:t>
      </w:r>
    </w:p>
    <w:p w14:paraId="2BBEC58B" w14:textId="5930E82F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30" w:name="_Ref61263247"/>
      <w:bookmarkStart w:id="31" w:name="_Ref64215494"/>
      <w:r>
        <w:t>MPAI-AIF Call for Technologies, N100</w:t>
      </w:r>
      <w:bookmarkEnd w:id="30"/>
      <w:r>
        <w:t xml:space="preserve">; </w:t>
      </w:r>
      <w:hyperlink r:id="rId18" w:anchor="CfT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31"/>
      <w:r w:rsidR="00AD503D">
        <w:t xml:space="preserve"> </w:t>
      </w:r>
    </w:p>
    <w:p w14:paraId="50AD2C27" w14:textId="0B3F1E3B" w:rsidR="008B553E" w:rsidRDefault="008B553E" w:rsidP="008B553E">
      <w:pPr>
        <w:pStyle w:val="ListParagraph"/>
        <w:numPr>
          <w:ilvl w:val="0"/>
          <w:numId w:val="14"/>
        </w:numPr>
      </w:pPr>
      <w:bookmarkStart w:id="32" w:name="_Hlk64199012"/>
      <w:r>
        <w:t xml:space="preserve">MPAI-AIF Framework Licence, MPAI N171; </w:t>
      </w:r>
      <w:hyperlink r:id="rId19" w:anchor="FWL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32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32429738" w:rsidR="008B553E" w:rsidRDefault="008B553E" w:rsidP="008B553E">
      <w:pPr>
        <w:pStyle w:val="ListParagraph"/>
        <w:numPr>
          <w:ilvl w:val="0"/>
          <w:numId w:val="14"/>
        </w:numPr>
      </w:pPr>
      <w:bookmarkStart w:id="33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8"/>
      <w:r>
        <w:t xml:space="preserve">; </w:t>
      </w:r>
      <w:hyperlink r:id="rId20" w:anchor="UCFR" w:history="1">
        <w:r w:rsidRPr="00576A35">
          <w:rPr>
            <w:rStyle w:val="Hyperlink"/>
          </w:rPr>
          <w:t>https://mpai.community/standards/mpai-cae/#UCFR</w:t>
        </w:r>
      </w:hyperlink>
      <w:bookmarkEnd w:id="33"/>
      <w:r>
        <w:t xml:space="preserve"> </w:t>
      </w:r>
    </w:p>
    <w:p w14:paraId="3E5DE163" w14:textId="3C7154F5" w:rsidR="008B553E" w:rsidRDefault="008B553E" w:rsidP="008B553E">
      <w:pPr>
        <w:pStyle w:val="ListParagraph"/>
        <w:numPr>
          <w:ilvl w:val="0"/>
          <w:numId w:val="14"/>
        </w:numPr>
      </w:pPr>
      <w:bookmarkStart w:id="34" w:name="_Ref64215789"/>
      <w:bookmarkStart w:id="35" w:name="_Ref61701902"/>
      <w:r>
        <w:t xml:space="preserve">MPAI-CAE Call for Technologies, MPAI N152; </w:t>
      </w:r>
      <w:hyperlink r:id="rId21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34"/>
      <w:r>
        <w:t xml:space="preserve"> </w:t>
      </w:r>
    </w:p>
    <w:p w14:paraId="329C745F" w14:textId="3E24615A" w:rsidR="008B553E" w:rsidRDefault="008B553E" w:rsidP="008B553E">
      <w:pPr>
        <w:pStyle w:val="ListParagraph"/>
        <w:numPr>
          <w:ilvl w:val="0"/>
          <w:numId w:val="14"/>
        </w:numPr>
      </w:pPr>
      <w:bookmarkStart w:id="36" w:name="_Ref64197752"/>
      <w:r>
        <w:t xml:space="preserve">MPAI-CAE Framework Licence, MPAI N171; </w:t>
      </w:r>
      <w:hyperlink r:id="rId22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6"/>
      <w:r>
        <w:t xml:space="preserve"> </w:t>
      </w:r>
    </w:p>
    <w:p w14:paraId="37293F72" w14:textId="5C4EE9B2" w:rsidR="008B553E" w:rsidRDefault="008B553E" w:rsidP="008B553E">
      <w:pPr>
        <w:pStyle w:val="ListParagraph"/>
        <w:numPr>
          <w:ilvl w:val="0"/>
          <w:numId w:val="14"/>
        </w:numPr>
      </w:pPr>
      <w:bookmarkStart w:id="37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35"/>
      <w:r>
        <w:t xml:space="preserve">; </w:t>
      </w:r>
      <w:hyperlink r:id="rId23" w:anchor="UCFR" w:history="1">
        <w:r w:rsidRPr="00576A35">
          <w:rPr>
            <w:rStyle w:val="Hyperlink"/>
          </w:rPr>
          <w:t>https://mpai.community/standards/mpai-mmc/#UCFR</w:t>
        </w:r>
      </w:hyperlink>
      <w:bookmarkEnd w:id="37"/>
      <w:r>
        <w:t xml:space="preserve"> </w:t>
      </w:r>
    </w:p>
    <w:p w14:paraId="4473D793" w14:textId="5F6805F4" w:rsidR="008B553E" w:rsidRDefault="008B553E" w:rsidP="008B553E">
      <w:pPr>
        <w:pStyle w:val="ListParagraph"/>
        <w:numPr>
          <w:ilvl w:val="0"/>
          <w:numId w:val="14"/>
        </w:numPr>
      </w:pPr>
      <w:bookmarkStart w:id="38" w:name="_Ref64216358"/>
      <w:r>
        <w:t xml:space="preserve">MPAI-MMC Call for Technologies, MPAI N154; </w:t>
      </w:r>
      <w:hyperlink r:id="rId24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8"/>
      <w:r>
        <w:t xml:space="preserve"> </w:t>
      </w:r>
    </w:p>
    <w:p w14:paraId="6083C7C7" w14:textId="65411D63" w:rsidR="002F7014" w:rsidRDefault="008B553E" w:rsidP="003A4183">
      <w:pPr>
        <w:pStyle w:val="ListParagraph"/>
        <w:numPr>
          <w:ilvl w:val="0"/>
          <w:numId w:val="14"/>
        </w:numPr>
      </w:pPr>
      <w:bookmarkStart w:id="39" w:name="_Ref64216375"/>
      <w:r>
        <w:t xml:space="preserve">MPAI-MMC Framework Licence, N173; </w:t>
      </w:r>
      <w:hyperlink r:id="rId25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9"/>
      <w:bookmarkEnd w:id="39"/>
    </w:p>
    <w:p w14:paraId="68440CF9" w14:textId="04FB5374" w:rsidR="00C0706C" w:rsidRDefault="00C0706C" w:rsidP="003A4183">
      <w:pPr>
        <w:pStyle w:val="ListParagraph"/>
        <w:numPr>
          <w:ilvl w:val="0"/>
          <w:numId w:val="14"/>
        </w:numPr>
      </w:pPr>
      <w:bookmarkStart w:id="40" w:name="_Ref62226495"/>
      <w:r w:rsidRPr="00C0706C">
        <w:t>MPAI-CUI Use Cases and Functional Requirement</w:t>
      </w:r>
      <w:r>
        <w:t xml:space="preserve">, </w:t>
      </w:r>
      <w:r w:rsidRPr="00C0706C">
        <w:t>N</w:t>
      </w:r>
      <w:bookmarkEnd w:id="40"/>
      <w:r w:rsidR="005B6668">
        <w:t>200</w:t>
      </w:r>
      <w:r w:rsidR="00C534E8">
        <w:t xml:space="preserve">; </w:t>
      </w:r>
      <w:hyperlink r:id="rId26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0701F74B" w:rsidR="005B6668" w:rsidRDefault="005B6668" w:rsidP="005B6668">
      <w:pPr>
        <w:pStyle w:val="ListParagraph"/>
        <w:numPr>
          <w:ilvl w:val="0"/>
          <w:numId w:val="14"/>
        </w:numPr>
      </w:pPr>
      <w:bookmarkStart w:id="41" w:name="_Ref66617210"/>
      <w:bookmarkStart w:id="42" w:name="_Ref62226499"/>
      <w:r w:rsidRPr="005B6668">
        <w:lastRenderedPageBreak/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7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41"/>
      <w:r>
        <w:t xml:space="preserve"> </w:t>
      </w:r>
    </w:p>
    <w:p w14:paraId="1C07254A" w14:textId="657DCC58" w:rsidR="005B6668" w:rsidRDefault="005B6668" w:rsidP="005B6668">
      <w:pPr>
        <w:pStyle w:val="ListParagraph"/>
        <w:numPr>
          <w:ilvl w:val="0"/>
          <w:numId w:val="14"/>
        </w:numPr>
      </w:pPr>
      <w:bookmarkStart w:id="43" w:name="_Ref66617233"/>
      <w:r>
        <w:t xml:space="preserve">MPAI-CUI Framework Licence, N202; </w:t>
      </w:r>
      <w:hyperlink r:id="rId28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43"/>
    </w:p>
    <w:p w14:paraId="217455E9" w14:textId="4988D6C5" w:rsidR="001E1316" w:rsidRDefault="0052046C" w:rsidP="003A4183">
      <w:pPr>
        <w:pStyle w:val="ListParagraph"/>
        <w:numPr>
          <w:ilvl w:val="0"/>
          <w:numId w:val="14"/>
        </w:numPr>
      </w:pPr>
      <w:bookmarkStart w:id="44" w:name="_Ref66617321"/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bookmarkEnd w:id="42"/>
      <w:r w:rsidR="000E347D">
        <w:t>94</w:t>
      </w:r>
      <w:r w:rsidR="00475409">
        <w:t xml:space="preserve">; </w:t>
      </w:r>
      <w:hyperlink r:id="rId29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44"/>
      <w:r w:rsidR="00475409">
        <w:t xml:space="preserve"> </w:t>
      </w:r>
    </w:p>
    <w:p w14:paraId="71F321D7" w14:textId="38BD40F7" w:rsidR="00AA412C" w:rsidRDefault="00AA412C" w:rsidP="003A4183">
      <w:pPr>
        <w:pStyle w:val="ListParagraph"/>
        <w:numPr>
          <w:ilvl w:val="0"/>
          <w:numId w:val="14"/>
        </w:numPr>
      </w:pPr>
      <w:bookmarkStart w:id="45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</w:t>
      </w:r>
      <w:bookmarkEnd w:id="45"/>
      <w:r w:rsidR="000E347D">
        <w:t>218</w:t>
      </w:r>
      <w:r w:rsidR="001A37B3">
        <w:t xml:space="preserve">; </w:t>
      </w:r>
      <w:bookmarkStart w:id="46" w:name="_Hlk74169635"/>
      <w:r w:rsidR="006C633E">
        <w:fldChar w:fldCharType="begin"/>
      </w:r>
      <w:r w:rsidR="006C633E">
        <w:instrText xml:space="preserve"> HYPERLINK "https://mpai.community/standards/mpai-spg/" \l "UCFR" </w:instrText>
      </w:r>
      <w:r w:rsidR="006C633E">
        <w:fldChar w:fldCharType="separate"/>
      </w:r>
      <w:r w:rsidR="001A37B3" w:rsidRPr="00463A62">
        <w:rPr>
          <w:rStyle w:val="Hyperlink"/>
        </w:rPr>
        <w:t>https://mpai.community/standards/mpai-spg/#UCFR</w:t>
      </w:r>
      <w:r w:rsidR="006C633E">
        <w:rPr>
          <w:rStyle w:val="Hyperlink"/>
        </w:rPr>
        <w:fldChar w:fldCharType="end"/>
      </w:r>
      <w:bookmarkEnd w:id="46"/>
    </w:p>
    <w:p w14:paraId="4FB3303A" w14:textId="4F720392" w:rsidR="0076691D" w:rsidRDefault="0076691D" w:rsidP="003A4183">
      <w:pPr>
        <w:pStyle w:val="ListParagraph"/>
        <w:numPr>
          <w:ilvl w:val="0"/>
          <w:numId w:val="14"/>
        </w:numPr>
      </w:pPr>
      <w:bookmarkStart w:id="47" w:name="_Ref62226569"/>
      <w:bookmarkStart w:id="48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47"/>
      <w:bookmarkEnd w:id="48"/>
      <w:r w:rsidR="00683505">
        <w:t xml:space="preserve">; </w:t>
      </w:r>
      <w:hyperlink r:id="rId30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71680C36" w:rsidR="0076691D" w:rsidRDefault="0076691D" w:rsidP="003A4183">
      <w:pPr>
        <w:pStyle w:val="ListParagraph"/>
        <w:numPr>
          <w:ilvl w:val="0"/>
          <w:numId w:val="14"/>
        </w:numPr>
      </w:pPr>
      <w:bookmarkStart w:id="49" w:name="_Ref62226571"/>
      <w:bookmarkStart w:id="50" w:name="_Ref64224120"/>
      <w:r w:rsidRPr="0076691D">
        <w:t>MPAI-EVC Use Cases and Requirements</w:t>
      </w:r>
      <w:r>
        <w:t>, N</w:t>
      </w:r>
      <w:r w:rsidR="005F136C">
        <w:t>92</w:t>
      </w:r>
      <w:bookmarkEnd w:id="49"/>
      <w:r w:rsidR="00683505">
        <w:t xml:space="preserve">; </w:t>
      </w:r>
      <w:hyperlink r:id="rId31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50"/>
    </w:p>
    <w:p w14:paraId="6EFF7739" w14:textId="2D1CD34C" w:rsidR="0076691D" w:rsidRDefault="0076691D" w:rsidP="003A4183">
      <w:pPr>
        <w:pStyle w:val="ListParagraph"/>
        <w:numPr>
          <w:ilvl w:val="0"/>
          <w:numId w:val="14"/>
        </w:numPr>
      </w:pPr>
      <w:bookmarkStart w:id="51" w:name="_Ref62226574"/>
      <w:bookmarkStart w:id="52" w:name="_Ref64224092"/>
      <w:r w:rsidRPr="0076691D"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51"/>
      <w:r w:rsidR="00683505">
        <w:t xml:space="preserve">; </w:t>
      </w:r>
      <w:hyperlink r:id="rId32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52"/>
    </w:p>
    <w:p w14:paraId="47344F16" w14:textId="72ACF520" w:rsidR="0076691D" w:rsidRPr="008B4822" w:rsidRDefault="0076691D" w:rsidP="003A41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53" w:name="_Ref62226576"/>
      <w:bookmarkStart w:id="54" w:name="_Ref64224077"/>
      <w:r w:rsidRPr="0076691D">
        <w:t>Operational Guidelines for MPAI-EVC Evidence Project</w:t>
      </w:r>
      <w:r>
        <w:t>, N70</w:t>
      </w:r>
      <w:bookmarkEnd w:id="53"/>
      <w:r w:rsidR="00683505">
        <w:t xml:space="preserve">; </w:t>
      </w:r>
      <w:hyperlink r:id="rId33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54"/>
    </w:p>
    <w:p w14:paraId="77021AF9" w14:textId="63FFC896" w:rsidR="007A4ED5" w:rsidRPr="003E240A" w:rsidRDefault="007A4ED5" w:rsidP="00C534E8">
      <w:pPr>
        <w:pStyle w:val="ListParagraph"/>
        <w:numPr>
          <w:ilvl w:val="0"/>
          <w:numId w:val="14"/>
        </w:numPr>
      </w:pPr>
      <w:bookmarkStart w:id="55" w:name="_Ref71385286"/>
      <w:bookmarkStart w:id="56" w:name="_Ref64224044"/>
      <w:bookmarkStart w:id="57" w:name="_Ref62226778"/>
      <w:r w:rsidRPr="003E240A">
        <w:t>Status report of MPAI-EVC Evidence Project, N2</w:t>
      </w:r>
      <w:r w:rsidR="00D85A44">
        <w:t>71</w:t>
      </w:r>
      <w:r w:rsidRPr="003E240A">
        <w:t>;</w:t>
      </w:r>
      <w:bookmarkEnd w:id="55"/>
      <w:r w:rsidRPr="003E240A">
        <w:t xml:space="preserve"> </w:t>
      </w:r>
      <w:hyperlink r:id="rId34" w:anchor="Status" w:history="1">
        <w:r w:rsidR="003E240A" w:rsidRPr="003E240A">
          <w:rPr>
            <w:rStyle w:val="Hyperlink"/>
          </w:rPr>
          <w:t>https://mpai.community/standards/mpai-evc/#Status</w:t>
        </w:r>
      </w:hyperlink>
      <w:r w:rsidR="003E240A" w:rsidRPr="003E240A">
        <w:t xml:space="preserve"> </w:t>
      </w:r>
    </w:p>
    <w:p w14:paraId="085BF3E1" w14:textId="053A6A6B" w:rsidR="006C633E" w:rsidRPr="00A50B0E" w:rsidRDefault="006C633E" w:rsidP="006C633E">
      <w:pPr>
        <w:pStyle w:val="ListParagraph"/>
        <w:numPr>
          <w:ilvl w:val="0"/>
          <w:numId w:val="14"/>
        </w:numPr>
        <w:rPr>
          <w:lang w:val="it-IT"/>
        </w:rPr>
      </w:pPr>
      <w:bookmarkStart w:id="58" w:name="_Ref71387552"/>
      <w:bookmarkStart w:id="59" w:name="_Ref71386968"/>
      <w:r w:rsidRPr="00A50B0E">
        <w:rPr>
          <w:lang w:val="it-IT"/>
        </w:rPr>
        <w:t xml:space="preserve">MPAI Application Note #9 - MPAI-CAV, N243; </w:t>
      </w:r>
      <w:hyperlink r:id="rId35" w:anchor="Note" w:history="1">
        <w:r w:rsidRPr="00A50B0E">
          <w:rPr>
            <w:rStyle w:val="Hyperlink"/>
            <w:lang w:val="it-IT"/>
          </w:rPr>
          <w:t>https://mpai.community/standards/mpai-cav/#Note</w:t>
        </w:r>
      </w:hyperlink>
      <w:bookmarkEnd w:id="58"/>
    </w:p>
    <w:p w14:paraId="4AA7B24A" w14:textId="6B126828" w:rsidR="006C633E" w:rsidRDefault="006C633E" w:rsidP="006C633E">
      <w:pPr>
        <w:pStyle w:val="ListParagraph"/>
        <w:numPr>
          <w:ilvl w:val="0"/>
          <w:numId w:val="14"/>
        </w:numPr>
      </w:pPr>
      <w:bookmarkStart w:id="60" w:name="_Ref74169801"/>
      <w:r w:rsidRPr="006C633E">
        <w:t>MPAI-CAV Use Cases and Functional Requirements</w:t>
      </w:r>
      <w:r>
        <w:t xml:space="preserve">, </w:t>
      </w:r>
      <w:r w:rsidRPr="006C633E">
        <w:t>N</w:t>
      </w:r>
      <w:r w:rsidR="00D1768D">
        <w:t>304</w:t>
      </w:r>
      <w:r>
        <w:t xml:space="preserve">; </w:t>
      </w:r>
      <w:hyperlink r:id="rId36" w:anchor="UCFR" w:history="1">
        <w:r w:rsidRPr="007A3F0F">
          <w:rPr>
            <w:rStyle w:val="Hyperlink"/>
          </w:rPr>
          <w:t>https://mpai.community/standards/mpai-cav/#UCFR</w:t>
        </w:r>
      </w:hyperlink>
      <w:bookmarkEnd w:id="60"/>
      <w:r>
        <w:t xml:space="preserve"> </w:t>
      </w:r>
    </w:p>
    <w:p w14:paraId="0858C46C" w14:textId="77777777" w:rsidR="000F2AA8" w:rsidRDefault="000F2AA8" w:rsidP="000F2AA8">
      <w:pPr>
        <w:pStyle w:val="ListParagraph"/>
        <w:numPr>
          <w:ilvl w:val="0"/>
          <w:numId w:val="14"/>
        </w:numPr>
      </w:pPr>
      <w:bookmarkStart w:id="61" w:name="_Ref74169489"/>
      <w:bookmarkStart w:id="62" w:name="_Ref74169827"/>
      <w:r>
        <w:t xml:space="preserve">MPAI Application Note #10 - MPAI-MCS – Mixed Reality Collaborative Spaces, N305; </w:t>
      </w:r>
      <w:hyperlink r:id="rId37" w:anchor="Note" w:history="1">
        <w:r w:rsidRPr="00A37D4B">
          <w:rPr>
            <w:rStyle w:val="Hyperlink"/>
          </w:rPr>
          <w:t>https://mpai.community/standards/mpai-mcs/#Note</w:t>
        </w:r>
      </w:hyperlink>
      <w:bookmarkEnd w:id="61"/>
      <w:r>
        <w:t xml:space="preserve"> </w:t>
      </w:r>
    </w:p>
    <w:p w14:paraId="5C9BDC41" w14:textId="21F534D3" w:rsidR="00C534E8" w:rsidRDefault="007A4ED5" w:rsidP="00C534E8">
      <w:pPr>
        <w:pStyle w:val="ListParagraph"/>
        <w:numPr>
          <w:ilvl w:val="0"/>
          <w:numId w:val="14"/>
        </w:numPr>
      </w:pPr>
      <w:r w:rsidRPr="0076691D">
        <w:t>MPAI Application Note #</w:t>
      </w:r>
      <w:r>
        <w:t>8</w:t>
      </w:r>
      <w:r w:rsidRPr="0076691D">
        <w:t xml:space="preserve"> - MPAI-</w:t>
      </w:r>
      <w:r>
        <w:t>OSD</w:t>
      </w:r>
      <w:r w:rsidR="00C534E8">
        <w:t>, N</w:t>
      </w:r>
      <w:r w:rsidR="00490190">
        <w:t>93</w:t>
      </w:r>
      <w:r w:rsidR="00683505">
        <w:t xml:space="preserve">; </w:t>
      </w:r>
      <w:bookmarkStart w:id="63" w:name="_Hlk71387068"/>
      <w:r w:rsidR="00490190">
        <w:fldChar w:fldCharType="begin"/>
      </w:r>
      <w:r w:rsidR="00490190">
        <w:instrText xml:space="preserve"> HYPERLINK "</w:instrText>
      </w:r>
      <w:r w:rsidR="00490190" w:rsidRPr="00490190">
        <w:instrText>https://mpai.community/standards/mpai-osd/#Note</w:instrText>
      </w:r>
      <w:r w:rsidR="00490190">
        <w:instrText xml:space="preserve">" </w:instrText>
      </w:r>
      <w:r w:rsidR="00490190">
        <w:fldChar w:fldCharType="separate"/>
      </w:r>
      <w:r w:rsidR="00490190" w:rsidRPr="0039299F">
        <w:rPr>
          <w:rStyle w:val="Hyperlink"/>
        </w:rPr>
        <w:t>https://mpai.community/standards/mpai-osd/#Note</w:t>
      </w:r>
      <w:r w:rsidR="00490190">
        <w:fldChar w:fldCharType="end"/>
      </w:r>
      <w:bookmarkEnd w:id="56"/>
      <w:bookmarkEnd w:id="59"/>
      <w:bookmarkEnd w:id="62"/>
      <w:bookmarkEnd w:id="63"/>
      <w:r w:rsidR="00683505">
        <w:t xml:space="preserve"> </w:t>
      </w:r>
    </w:p>
    <w:p w14:paraId="1A90FFEC" w14:textId="68B3BBC8" w:rsidR="00F03528" w:rsidRPr="00B2147F" w:rsidRDefault="00F03528" w:rsidP="00E72905">
      <w:pPr>
        <w:pStyle w:val="ListParagraph"/>
        <w:numPr>
          <w:ilvl w:val="0"/>
          <w:numId w:val="14"/>
        </w:numPr>
      </w:pPr>
      <w:bookmarkStart w:id="64" w:name="_Ref66617459"/>
      <w:bookmarkStart w:id="65" w:name="_Ref71387154"/>
      <w:bookmarkStart w:id="66" w:name="_Ref74169867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57"/>
      <w:r w:rsidR="00683505">
        <w:t xml:space="preserve">; </w:t>
      </w:r>
      <w:hyperlink r:id="rId38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64"/>
      <w:bookmarkEnd w:id="65"/>
      <w:bookmarkEnd w:id="66"/>
      <w:r w:rsidR="00683505">
        <w:t xml:space="preserve"> </w:t>
      </w:r>
      <w:bookmarkEnd w:id="4"/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9554D"/>
    <w:rsid w:val="000A0992"/>
    <w:rsid w:val="000B3CA3"/>
    <w:rsid w:val="000C5808"/>
    <w:rsid w:val="000D430D"/>
    <w:rsid w:val="000D58DC"/>
    <w:rsid w:val="000E347D"/>
    <w:rsid w:val="000E5440"/>
    <w:rsid w:val="000E6185"/>
    <w:rsid w:val="000E6AA6"/>
    <w:rsid w:val="000F1C22"/>
    <w:rsid w:val="000F2AA8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47FE2"/>
    <w:rsid w:val="0015021D"/>
    <w:rsid w:val="00150931"/>
    <w:rsid w:val="00151142"/>
    <w:rsid w:val="001676B9"/>
    <w:rsid w:val="00171211"/>
    <w:rsid w:val="0017476B"/>
    <w:rsid w:val="00184896"/>
    <w:rsid w:val="001920B7"/>
    <w:rsid w:val="00197EBA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221F51"/>
    <w:rsid w:val="00230954"/>
    <w:rsid w:val="00235528"/>
    <w:rsid w:val="002410A7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25B6"/>
    <w:rsid w:val="002A6BFB"/>
    <w:rsid w:val="002B2FD2"/>
    <w:rsid w:val="002B6E43"/>
    <w:rsid w:val="002B70A0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27760"/>
    <w:rsid w:val="0033190F"/>
    <w:rsid w:val="00342B7A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0E99"/>
    <w:rsid w:val="003D2DDB"/>
    <w:rsid w:val="003E1E52"/>
    <w:rsid w:val="003E240A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04122"/>
    <w:rsid w:val="005132BF"/>
    <w:rsid w:val="00516F9C"/>
    <w:rsid w:val="0052046C"/>
    <w:rsid w:val="0052544E"/>
    <w:rsid w:val="00527788"/>
    <w:rsid w:val="0054391B"/>
    <w:rsid w:val="0055015D"/>
    <w:rsid w:val="0055221B"/>
    <w:rsid w:val="005565BE"/>
    <w:rsid w:val="00557EDB"/>
    <w:rsid w:val="00560A44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C6B42"/>
    <w:rsid w:val="005D1A6F"/>
    <w:rsid w:val="005D561E"/>
    <w:rsid w:val="005E070F"/>
    <w:rsid w:val="005E1400"/>
    <w:rsid w:val="005E56B5"/>
    <w:rsid w:val="005F136C"/>
    <w:rsid w:val="005F1DE2"/>
    <w:rsid w:val="005F3CC5"/>
    <w:rsid w:val="005F7CA2"/>
    <w:rsid w:val="0060019F"/>
    <w:rsid w:val="00600366"/>
    <w:rsid w:val="006074A9"/>
    <w:rsid w:val="00625A92"/>
    <w:rsid w:val="006323E5"/>
    <w:rsid w:val="00632565"/>
    <w:rsid w:val="0063664B"/>
    <w:rsid w:val="00640E28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5023"/>
    <w:rsid w:val="006B2D08"/>
    <w:rsid w:val="006B39B4"/>
    <w:rsid w:val="006B6380"/>
    <w:rsid w:val="006C633E"/>
    <w:rsid w:val="006D4315"/>
    <w:rsid w:val="006D5C63"/>
    <w:rsid w:val="006E0377"/>
    <w:rsid w:val="006E2AB0"/>
    <w:rsid w:val="006E2D0D"/>
    <w:rsid w:val="006E3EF3"/>
    <w:rsid w:val="006E58FE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0D4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A7EF7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67A7"/>
    <w:rsid w:val="00A34BE0"/>
    <w:rsid w:val="00A42274"/>
    <w:rsid w:val="00A424BC"/>
    <w:rsid w:val="00A431D9"/>
    <w:rsid w:val="00A464AB"/>
    <w:rsid w:val="00A50B0E"/>
    <w:rsid w:val="00A541E4"/>
    <w:rsid w:val="00A56E05"/>
    <w:rsid w:val="00A83390"/>
    <w:rsid w:val="00A84784"/>
    <w:rsid w:val="00A877C5"/>
    <w:rsid w:val="00A9007A"/>
    <w:rsid w:val="00A92DEB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81E8E"/>
    <w:rsid w:val="00B85E63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0924"/>
    <w:rsid w:val="00CF25B8"/>
    <w:rsid w:val="00CF3FD2"/>
    <w:rsid w:val="00D15E90"/>
    <w:rsid w:val="00D15EFB"/>
    <w:rsid w:val="00D1768D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42A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34DAF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B6D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C4763"/>
    <w:rsid w:val="00FC4D2F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mpai.community/standards/mpai-aif/" TargetMode="External"/><Relationship Id="rId26" Type="http://schemas.openxmlformats.org/officeDocument/2006/relationships/hyperlink" Target="https://mpai.community/standards/mpai-cui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standards/mpai-evc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wp-content/uploads/2020/11/N70-Operational-Guidelines-for-MPAI-EVC-Evidence-Project.docx" TargetMode="External"/><Relationship Id="rId38" Type="http://schemas.openxmlformats.org/officeDocument/2006/relationships/hyperlink" Target="https://mpai.community/wp-content/uploads/2020/11/N46-MPAI-Use-Case-Rev2.0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mpai.community/standards/mpai-cae/" TargetMode="External"/><Relationship Id="rId29" Type="http://schemas.openxmlformats.org/officeDocument/2006/relationships/hyperlink" Target="https://mpai.community/standards/mpai-gs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wp-content/uploads/2020/11/Collaborative-Evidence-Conditions-for-MPAI-EVC-Evidence-Project-R1.docx" TargetMode="External"/><Relationship Id="rId37" Type="http://schemas.openxmlformats.org/officeDocument/2006/relationships/hyperlink" Target="https://mpai.community/standards/mpai-mc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mpai.community/standards/mpai-mmc/" TargetMode="External"/><Relationship Id="rId28" Type="http://schemas.openxmlformats.org/officeDocument/2006/relationships/hyperlink" Target="https://mpai.community/standards/mpai-cae/" TargetMode="External"/><Relationship Id="rId36" Type="http://schemas.openxmlformats.org/officeDocument/2006/relationships/hyperlink" Target="https://mpai.community/standards/mpai-cav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" TargetMode="External"/><Relationship Id="rId31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mmc/" TargetMode="External"/><Relationship Id="rId30" Type="http://schemas.openxmlformats.org/officeDocument/2006/relationships/hyperlink" Target="https://mpai.community/standards/mpai-evc/" TargetMode="External"/><Relationship Id="rId35" Type="http://schemas.openxmlformats.org/officeDocument/2006/relationships/hyperlink" Target="https://mpai.community/standards/mpai-ca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181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41</cp:revision>
  <dcterms:created xsi:type="dcterms:W3CDTF">2021-04-06T14:16:00Z</dcterms:created>
  <dcterms:modified xsi:type="dcterms:W3CDTF">2021-07-19T20:12:00Z</dcterms:modified>
</cp:coreProperties>
</file>