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2C3B215E" w14:textId="77777777" w:rsidTr="00AA412C">
        <w:tc>
          <w:tcPr>
            <w:tcW w:w="3358" w:type="dxa"/>
          </w:tcPr>
          <w:p w14:paraId="173F9406" w14:textId="77777777" w:rsidR="003D2DDB" w:rsidRDefault="00CC3A91" w:rsidP="000D430D">
            <w:r>
              <w:object w:dxaOrig="9950" w:dyaOrig="3900" w14:anchorId="60A75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75pt;height:56.45pt" o:ole="">
                  <v:imagedata r:id="rId6" o:title=""/>
                </v:shape>
                <o:OLEObject Type="Embed" ProgID="PBrush" ShapeID="_x0000_i1025" DrawAspect="Content" ObjectID="_1688237897" r:id="rId7"/>
              </w:object>
            </w:r>
          </w:p>
        </w:tc>
        <w:tc>
          <w:tcPr>
            <w:tcW w:w="5997" w:type="dxa"/>
            <w:vAlign w:val="center"/>
          </w:tcPr>
          <w:p w14:paraId="7D1E5722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1001B2F5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737BEE1C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6A5023" w14:paraId="5C09D55B" w14:textId="77777777" w:rsidTr="00151142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11EDE" w14:textId="6FCF2F2D" w:rsidR="006A5023" w:rsidRPr="006A5023" w:rsidRDefault="006A5023" w:rsidP="006A5023">
            <w:pPr>
              <w:jc w:val="center"/>
              <w:rPr>
                <w:b/>
                <w:bCs/>
              </w:rPr>
            </w:pPr>
            <w:r w:rsidRPr="006A5023">
              <w:rPr>
                <w:b/>
                <w:bCs/>
                <w:sz w:val="28"/>
                <w:szCs w:val="28"/>
              </w:rPr>
              <w:t>Public document</w:t>
            </w:r>
          </w:p>
        </w:tc>
      </w:tr>
      <w:tr w:rsidR="00B81E8E" w14:paraId="4AC11787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6A95A4" w14:textId="6FC6D644" w:rsidR="00B81E8E" w:rsidRPr="00AD503D" w:rsidRDefault="00BB7651" w:rsidP="009F31DD">
            <w:pPr>
              <w:jc w:val="right"/>
              <w:rPr>
                <w:b/>
                <w:bCs/>
              </w:rPr>
            </w:pPr>
            <w:r w:rsidRPr="00AD503D">
              <w:rPr>
                <w:b/>
                <w:bCs/>
              </w:rPr>
              <w:t>N</w:t>
            </w:r>
            <w:r w:rsidR="00A92DEB">
              <w:rPr>
                <w:b/>
                <w:bCs/>
              </w:rPr>
              <w:t>2</w:t>
            </w:r>
            <w:r w:rsidR="00A50B0E">
              <w:rPr>
                <w:b/>
                <w:bCs/>
              </w:rPr>
              <w:t>84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7FB9CF4" w14:textId="45CA4028" w:rsidR="00B81E8E" w:rsidRDefault="000D430D" w:rsidP="00B81E8E">
            <w:pPr>
              <w:jc w:val="right"/>
            </w:pPr>
            <w:r>
              <w:t>202</w:t>
            </w:r>
            <w:r w:rsidR="00E86C64">
              <w:t>1</w:t>
            </w:r>
            <w:r w:rsidR="00B81E8E">
              <w:t>/</w:t>
            </w:r>
            <w:r w:rsidR="00E86C64">
              <w:t>0</w:t>
            </w:r>
            <w:r w:rsidR="00A50B0E">
              <w:t>7</w:t>
            </w:r>
            <w:r w:rsidR="00B81E8E">
              <w:t>/</w:t>
            </w:r>
            <w:r w:rsidR="00A50B0E">
              <w:t>1</w:t>
            </w:r>
            <w:r w:rsidR="006B6380">
              <w:t>9</w:t>
            </w:r>
          </w:p>
        </w:tc>
      </w:tr>
      <w:tr w:rsidR="003D2DDB" w14:paraId="1F1026EB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B07C8B" w14:textId="77777777" w:rsidR="003D2DDB" w:rsidRPr="00AD503D" w:rsidRDefault="003D2DDB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9A6CCEB" w14:textId="421E5FC9" w:rsidR="003D2DDB" w:rsidRDefault="00712AB2" w:rsidP="007F2E7F">
            <w:r>
              <w:t xml:space="preserve">General Assembly </w:t>
            </w:r>
            <w:r w:rsidR="004877A2">
              <w:t>#</w:t>
            </w:r>
            <w:r w:rsidR="00A50B0E">
              <w:t>10</w:t>
            </w:r>
            <w:r w:rsidR="004877A2">
              <w:t xml:space="preserve"> </w:t>
            </w:r>
            <w:r>
              <w:t>(</w:t>
            </w:r>
            <w:r w:rsidR="00BB7651">
              <w:t>MPAI-</w:t>
            </w:r>
            <w:r w:rsidR="00A50B0E">
              <w:t>10</w:t>
            </w:r>
            <w:r>
              <w:t>)</w:t>
            </w:r>
          </w:p>
        </w:tc>
      </w:tr>
      <w:tr w:rsidR="003D2DDB" w14:paraId="4B47FC9F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B1CD27" w14:textId="77777777" w:rsidR="003D2DDB" w:rsidRPr="00AD503D" w:rsidRDefault="00B81E8E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5182B75" w14:textId="40CDC566" w:rsidR="003D2DDB" w:rsidRDefault="00496C68" w:rsidP="007F2E7F">
            <w:r>
              <w:t xml:space="preserve">MPAI workplan </w:t>
            </w:r>
          </w:p>
        </w:tc>
      </w:tr>
      <w:tr w:rsidR="003D2DDB" w14:paraId="7B62458B" w14:textId="77777777" w:rsidTr="006A502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3B346CA" w14:textId="77777777" w:rsidR="003D2DDB" w:rsidRPr="00AD503D" w:rsidRDefault="00B81E8E" w:rsidP="007F2E7F">
            <w:pPr>
              <w:rPr>
                <w:b/>
                <w:bCs/>
              </w:rPr>
            </w:pPr>
            <w:r w:rsidRPr="00AD503D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AF83DB" w14:textId="392FF1B3" w:rsidR="003D2DDB" w:rsidRDefault="008148D6" w:rsidP="007F2E7F">
            <w:r>
              <w:t>Public document</w:t>
            </w:r>
          </w:p>
        </w:tc>
      </w:tr>
    </w:tbl>
    <w:p w14:paraId="671CAAFF" w14:textId="51D8D420" w:rsidR="00496C68" w:rsidRDefault="00496C68" w:rsidP="007F2E7F"/>
    <w:p w14:paraId="6FDF8ED7" w14:textId="2B73815D" w:rsidR="00EE5D37" w:rsidRDefault="00EE5D37" w:rsidP="00EE5D37">
      <w:pPr>
        <w:pStyle w:val="Heading1"/>
      </w:pPr>
      <w:r>
        <w:t>Introduction</w:t>
      </w:r>
    </w:p>
    <w:p w14:paraId="085BB92C" w14:textId="410F4C01" w:rsidR="00496C68" w:rsidRDefault="00496C68" w:rsidP="00496C68">
      <w:r>
        <w:t>MPAI</w:t>
      </w:r>
      <w:r w:rsidR="00694761">
        <w:t>’s</w:t>
      </w:r>
      <w:r>
        <w:t xml:space="preserve"> </w:t>
      </w:r>
      <w:r w:rsidR="00694761">
        <w:t xml:space="preserve">standards </w:t>
      </w:r>
      <w:r>
        <w:t>develop</w:t>
      </w:r>
      <w:r w:rsidR="00694761">
        <w:t xml:space="preserve">ment is based on projects evolving through </w:t>
      </w:r>
      <w:r w:rsidR="00BB7651">
        <w:t xml:space="preserve">a </w:t>
      </w:r>
      <w:r w:rsidR="00694761">
        <w:t xml:space="preserve">workflow extending on </w:t>
      </w:r>
      <w:r w:rsidR="00EE5D37">
        <w:t>6</w:t>
      </w:r>
      <w:r w:rsidR="00694761">
        <w:t xml:space="preserve"> + 1 </w:t>
      </w:r>
      <w:r w:rsidR="00EE5D37">
        <w:t>stage</w:t>
      </w:r>
      <w:r w:rsidR="00694761">
        <w:t>s.</w:t>
      </w:r>
      <w:r w:rsidR="00EE5D37">
        <w:t xml:space="preserve"> </w:t>
      </w:r>
    </w:p>
    <w:p w14:paraId="08EE46C9" w14:textId="77777777" w:rsidR="00496C68" w:rsidRDefault="00496C68" w:rsidP="00496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603"/>
        <w:gridCol w:w="1894"/>
        <w:gridCol w:w="6512"/>
      </w:tblGrid>
      <w:tr w:rsidR="00D86D01" w:rsidRPr="00F465D8" w14:paraId="45B59FC2" w14:textId="77777777" w:rsidTr="00DF4365">
        <w:tc>
          <w:tcPr>
            <w:tcW w:w="0" w:type="auto"/>
          </w:tcPr>
          <w:p w14:paraId="65BEB2C6" w14:textId="48653114" w:rsidR="00D86D01" w:rsidRPr="00F465D8" w:rsidRDefault="00D86D01" w:rsidP="00DB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7AF36C68" w14:textId="3D57A0C0" w:rsidR="00D86D01" w:rsidRPr="00F465D8" w:rsidRDefault="00D86D01" w:rsidP="00DB4510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Acr</w:t>
            </w:r>
          </w:p>
        </w:tc>
        <w:tc>
          <w:tcPr>
            <w:tcW w:w="1894" w:type="dxa"/>
          </w:tcPr>
          <w:p w14:paraId="6792CF22" w14:textId="77777777" w:rsidR="00D86D01" w:rsidRPr="00F465D8" w:rsidRDefault="00D86D01" w:rsidP="00DB4510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Name</w:t>
            </w:r>
          </w:p>
        </w:tc>
        <w:tc>
          <w:tcPr>
            <w:tcW w:w="6512" w:type="dxa"/>
          </w:tcPr>
          <w:p w14:paraId="06214736" w14:textId="77777777" w:rsidR="00D86D01" w:rsidRPr="00F465D8" w:rsidRDefault="00D86D01" w:rsidP="004877A2">
            <w:pPr>
              <w:jc w:val="center"/>
              <w:rPr>
                <w:b/>
                <w:bCs/>
              </w:rPr>
            </w:pPr>
            <w:r w:rsidRPr="00F465D8">
              <w:rPr>
                <w:b/>
                <w:bCs/>
              </w:rPr>
              <w:t>Description</w:t>
            </w:r>
          </w:p>
        </w:tc>
      </w:tr>
      <w:tr w:rsidR="00066468" w:rsidRPr="00F465D8" w14:paraId="19131FB3" w14:textId="77777777" w:rsidTr="00DF4365">
        <w:tc>
          <w:tcPr>
            <w:tcW w:w="0" w:type="auto"/>
          </w:tcPr>
          <w:p w14:paraId="034F80B3" w14:textId="0DB3E3A8" w:rsidR="00066468" w:rsidRDefault="00066468" w:rsidP="00DB4510">
            <w:r>
              <w:t>0</w:t>
            </w:r>
          </w:p>
        </w:tc>
        <w:tc>
          <w:tcPr>
            <w:tcW w:w="0" w:type="auto"/>
          </w:tcPr>
          <w:p w14:paraId="1C09138B" w14:textId="05FF5C01" w:rsidR="00066468" w:rsidRPr="00F465D8" w:rsidRDefault="00066468" w:rsidP="00DB4510">
            <w:r>
              <w:t>IC</w:t>
            </w:r>
          </w:p>
        </w:tc>
        <w:tc>
          <w:tcPr>
            <w:tcW w:w="1894" w:type="dxa"/>
          </w:tcPr>
          <w:p w14:paraId="233F7E09" w14:textId="7A3F9318" w:rsidR="00066468" w:rsidRPr="00F465D8" w:rsidRDefault="00066468" w:rsidP="00DB4510">
            <w:r>
              <w:t>Interest Collection</w:t>
            </w:r>
          </w:p>
        </w:tc>
        <w:tc>
          <w:tcPr>
            <w:tcW w:w="6512" w:type="dxa"/>
          </w:tcPr>
          <w:p w14:paraId="55D2F523" w14:textId="17845B6F" w:rsidR="00066468" w:rsidRPr="00F465D8" w:rsidRDefault="00066468" w:rsidP="004877A2">
            <w:pPr>
              <w:jc w:val="both"/>
            </w:pPr>
            <w:r w:rsidRPr="00066468">
              <w:t>Collect</w:t>
            </w:r>
            <w:r>
              <w:t>ion</w:t>
            </w:r>
            <w:r w:rsidRPr="00066468">
              <w:t xml:space="preserve"> and harmonis</w:t>
            </w:r>
            <w:r>
              <w:t>ation of</w:t>
            </w:r>
            <w:r w:rsidRPr="00066468">
              <w:t xml:space="preserve"> use cases</w:t>
            </w:r>
            <w:r>
              <w:t xml:space="preserve"> proposed</w:t>
            </w:r>
          </w:p>
        </w:tc>
      </w:tr>
      <w:tr w:rsidR="00D86D01" w:rsidRPr="00F465D8" w14:paraId="7F0406E3" w14:textId="77777777" w:rsidTr="00DF4365">
        <w:tc>
          <w:tcPr>
            <w:tcW w:w="0" w:type="auto"/>
          </w:tcPr>
          <w:p w14:paraId="47ABBA21" w14:textId="6D18A8CD" w:rsidR="00D86D01" w:rsidRPr="00F465D8" w:rsidRDefault="00D86D01" w:rsidP="00DB4510">
            <w:r>
              <w:t>1</w:t>
            </w:r>
          </w:p>
        </w:tc>
        <w:tc>
          <w:tcPr>
            <w:tcW w:w="0" w:type="auto"/>
          </w:tcPr>
          <w:p w14:paraId="63BEB7B5" w14:textId="5FDD4BA4" w:rsidR="00D86D01" w:rsidRPr="00F465D8" w:rsidRDefault="00D86D01" w:rsidP="00DB4510">
            <w:r w:rsidRPr="00F465D8">
              <w:t>UC</w:t>
            </w:r>
          </w:p>
        </w:tc>
        <w:tc>
          <w:tcPr>
            <w:tcW w:w="1894" w:type="dxa"/>
          </w:tcPr>
          <w:p w14:paraId="269A799D" w14:textId="77777777" w:rsidR="00D86D01" w:rsidRPr="00F465D8" w:rsidRDefault="00D86D01" w:rsidP="00DB4510">
            <w:r w:rsidRPr="00F465D8">
              <w:t>Use cases</w:t>
            </w:r>
          </w:p>
        </w:tc>
        <w:tc>
          <w:tcPr>
            <w:tcW w:w="6512" w:type="dxa"/>
          </w:tcPr>
          <w:p w14:paraId="0F38543B" w14:textId="381E32A2" w:rsidR="00D86D01" w:rsidRPr="00F465D8" w:rsidRDefault="00D86D01" w:rsidP="004877A2">
            <w:pPr>
              <w:jc w:val="both"/>
            </w:pPr>
            <w:r w:rsidRPr="00F465D8">
              <w:t>Proposals of use cases, their description and merger of compatible use cases</w:t>
            </w:r>
          </w:p>
        </w:tc>
      </w:tr>
      <w:tr w:rsidR="00D86D01" w:rsidRPr="00F465D8" w14:paraId="47509F54" w14:textId="77777777" w:rsidTr="00DF4365">
        <w:tc>
          <w:tcPr>
            <w:tcW w:w="0" w:type="auto"/>
          </w:tcPr>
          <w:p w14:paraId="69149DE0" w14:textId="6610A6D3" w:rsidR="00D86D01" w:rsidRPr="00F465D8" w:rsidRDefault="00D86D01" w:rsidP="00DB4510">
            <w:r>
              <w:t>2</w:t>
            </w:r>
          </w:p>
        </w:tc>
        <w:tc>
          <w:tcPr>
            <w:tcW w:w="0" w:type="auto"/>
          </w:tcPr>
          <w:p w14:paraId="58894027" w14:textId="22105EE1" w:rsidR="00D86D01" w:rsidRPr="00F465D8" w:rsidRDefault="00D86D01" w:rsidP="00DB4510">
            <w:r w:rsidRPr="00F465D8">
              <w:t>FR</w:t>
            </w:r>
          </w:p>
        </w:tc>
        <w:tc>
          <w:tcPr>
            <w:tcW w:w="1894" w:type="dxa"/>
          </w:tcPr>
          <w:p w14:paraId="246F0497" w14:textId="77777777" w:rsidR="00D86D01" w:rsidRPr="00F465D8" w:rsidRDefault="00D86D01" w:rsidP="00DB4510">
            <w:r w:rsidRPr="00F465D8">
              <w:t>Functional Reqs</w:t>
            </w:r>
          </w:p>
        </w:tc>
        <w:tc>
          <w:tcPr>
            <w:tcW w:w="6512" w:type="dxa"/>
          </w:tcPr>
          <w:p w14:paraId="520FE853" w14:textId="6E282B9C" w:rsidR="00D86D01" w:rsidRPr="00F465D8" w:rsidRDefault="00D86D01" w:rsidP="004877A2">
            <w:pPr>
              <w:jc w:val="both"/>
            </w:pPr>
            <w:r w:rsidRPr="00F465D8">
              <w:t xml:space="preserve">Identification of the functional requirements that the standard </w:t>
            </w:r>
            <w:r w:rsidR="004877A2">
              <w:t>in</w:t>
            </w:r>
            <w:r w:rsidR="004877A2">
              <w:softHyphen/>
              <w:t xml:space="preserve">cluding the Use Case </w:t>
            </w:r>
            <w:r w:rsidRPr="00F465D8">
              <w:t>should satisfy</w:t>
            </w:r>
          </w:p>
        </w:tc>
      </w:tr>
      <w:tr w:rsidR="00D86D01" w:rsidRPr="00F465D8" w14:paraId="6E71509D" w14:textId="77777777" w:rsidTr="00DF4365">
        <w:tc>
          <w:tcPr>
            <w:tcW w:w="0" w:type="auto"/>
          </w:tcPr>
          <w:p w14:paraId="3DB51394" w14:textId="27DCCB4A" w:rsidR="00D86D01" w:rsidRPr="00F465D8" w:rsidRDefault="00D86D01" w:rsidP="00DB4510">
            <w:r>
              <w:t>3</w:t>
            </w:r>
          </w:p>
        </w:tc>
        <w:tc>
          <w:tcPr>
            <w:tcW w:w="0" w:type="auto"/>
          </w:tcPr>
          <w:p w14:paraId="7AFD37EC" w14:textId="56F986CC" w:rsidR="00D86D01" w:rsidRPr="00F465D8" w:rsidRDefault="00D86D01" w:rsidP="00DB4510">
            <w:r w:rsidRPr="00F465D8">
              <w:t>CR</w:t>
            </w:r>
          </w:p>
        </w:tc>
        <w:tc>
          <w:tcPr>
            <w:tcW w:w="1894" w:type="dxa"/>
          </w:tcPr>
          <w:p w14:paraId="5F5753D7" w14:textId="77777777" w:rsidR="00D86D01" w:rsidRPr="00F465D8" w:rsidRDefault="00D86D01" w:rsidP="00DB4510">
            <w:r w:rsidRPr="00F465D8">
              <w:t>Commercial Reqs</w:t>
            </w:r>
          </w:p>
        </w:tc>
        <w:tc>
          <w:tcPr>
            <w:tcW w:w="6512" w:type="dxa"/>
          </w:tcPr>
          <w:p w14:paraId="343849BB" w14:textId="161DFD1B" w:rsidR="00D86D01" w:rsidRPr="00F465D8" w:rsidRDefault="00D86D01" w:rsidP="004877A2">
            <w:pPr>
              <w:jc w:val="both"/>
            </w:pPr>
            <w:r w:rsidRPr="00F465D8">
              <w:t xml:space="preserve">Development </w:t>
            </w:r>
            <w:r w:rsidR="00EE5D37">
              <w:t xml:space="preserve">and approval </w:t>
            </w:r>
            <w:r w:rsidRPr="00F465D8">
              <w:t>of the framework licence of the stan</w:t>
            </w:r>
            <w:r w:rsidR="004877A2">
              <w:softHyphen/>
            </w:r>
            <w:r w:rsidRPr="00F465D8">
              <w:t>dard</w:t>
            </w:r>
          </w:p>
        </w:tc>
      </w:tr>
      <w:tr w:rsidR="00D86D01" w:rsidRPr="00F465D8" w14:paraId="6D7759FA" w14:textId="77777777" w:rsidTr="00DF4365">
        <w:tc>
          <w:tcPr>
            <w:tcW w:w="0" w:type="auto"/>
          </w:tcPr>
          <w:p w14:paraId="7B1A2AF5" w14:textId="5C6F992B" w:rsidR="00D86D01" w:rsidRPr="00F465D8" w:rsidRDefault="00D86D01" w:rsidP="00DB4510">
            <w:r>
              <w:t>4</w:t>
            </w:r>
          </w:p>
        </w:tc>
        <w:tc>
          <w:tcPr>
            <w:tcW w:w="0" w:type="auto"/>
          </w:tcPr>
          <w:p w14:paraId="0C2E9465" w14:textId="66BCFBF1" w:rsidR="00D86D01" w:rsidRPr="00F465D8" w:rsidRDefault="00D86D01" w:rsidP="00DB4510">
            <w:r w:rsidRPr="00F465D8">
              <w:t>CfT</w:t>
            </w:r>
          </w:p>
        </w:tc>
        <w:tc>
          <w:tcPr>
            <w:tcW w:w="1894" w:type="dxa"/>
          </w:tcPr>
          <w:p w14:paraId="71FF95D2" w14:textId="77777777" w:rsidR="00D86D01" w:rsidRPr="00F465D8" w:rsidRDefault="00D86D01" w:rsidP="00DB4510">
            <w:r w:rsidRPr="00F465D8">
              <w:t>Call for Technologies</w:t>
            </w:r>
          </w:p>
        </w:tc>
        <w:tc>
          <w:tcPr>
            <w:tcW w:w="6512" w:type="dxa"/>
          </w:tcPr>
          <w:p w14:paraId="75237CCA" w14:textId="5F7D9931" w:rsidR="00D86D01" w:rsidRPr="00F465D8" w:rsidRDefault="00D86D01" w:rsidP="004877A2">
            <w:pPr>
              <w:jc w:val="both"/>
            </w:pPr>
            <w:r w:rsidRPr="00F465D8">
              <w:t xml:space="preserve">Preparation and publication of a document calling for technologies supporting the </w:t>
            </w:r>
            <w:r w:rsidR="004877A2">
              <w:t xml:space="preserve">functional and commercial </w:t>
            </w:r>
            <w:r w:rsidRPr="00F465D8">
              <w:t>requirements</w:t>
            </w:r>
          </w:p>
        </w:tc>
      </w:tr>
      <w:tr w:rsidR="00D86D01" w14:paraId="664237BA" w14:textId="77777777" w:rsidTr="00DF4365">
        <w:tc>
          <w:tcPr>
            <w:tcW w:w="0" w:type="auto"/>
          </w:tcPr>
          <w:p w14:paraId="2B17C0CC" w14:textId="4053E4CE" w:rsidR="00D86D01" w:rsidRPr="00F465D8" w:rsidRDefault="00D86D01" w:rsidP="00DB4510">
            <w:r>
              <w:t>5</w:t>
            </w:r>
          </w:p>
        </w:tc>
        <w:tc>
          <w:tcPr>
            <w:tcW w:w="0" w:type="auto"/>
          </w:tcPr>
          <w:p w14:paraId="16C3AAC2" w14:textId="35EEF41D" w:rsidR="00D86D01" w:rsidRPr="00F465D8" w:rsidRDefault="00D86D01" w:rsidP="00DB4510">
            <w:r w:rsidRPr="00F465D8">
              <w:t>SD</w:t>
            </w:r>
          </w:p>
        </w:tc>
        <w:tc>
          <w:tcPr>
            <w:tcW w:w="1894" w:type="dxa"/>
          </w:tcPr>
          <w:p w14:paraId="6B7A8D58" w14:textId="77777777" w:rsidR="00D86D01" w:rsidRPr="00F465D8" w:rsidRDefault="00D86D01" w:rsidP="00DB4510">
            <w:r w:rsidRPr="00F465D8">
              <w:t>Standard development</w:t>
            </w:r>
          </w:p>
        </w:tc>
        <w:tc>
          <w:tcPr>
            <w:tcW w:w="6512" w:type="dxa"/>
          </w:tcPr>
          <w:p w14:paraId="578D6400" w14:textId="31434589" w:rsidR="00D86D01" w:rsidRDefault="00D86D01" w:rsidP="004877A2">
            <w:pPr>
              <w:jc w:val="both"/>
            </w:pPr>
            <w:r w:rsidRPr="00F465D8">
              <w:t>Development of the standard in a specific Development Com</w:t>
            </w:r>
            <w:r w:rsidR="004877A2">
              <w:softHyphen/>
            </w:r>
            <w:r w:rsidRPr="00F465D8">
              <w:t>mit</w:t>
            </w:r>
            <w:r w:rsidR="004877A2">
              <w:softHyphen/>
            </w:r>
            <w:r w:rsidRPr="00F465D8">
              <w:t>tee (DC)</w:t>
            </w:r>
          </w:p>
        </w:tc>
      </w:tr>
      <w:tr w:rsidR="00D86D01" w14:paraId="1CD9DF7F" w14:textId="77777777" w:rsidTr="00DF4365">
        <w:tc>
          <w:tcPr>
            <w:tcW w:w="0" w:type="auto"/>
          </w:tcPr>
          <w:p w14:paraId="07399DBE" w14:textId="6D7D9909" w:rsidR="00D86D01" w:rsidRDefault="00D86D01" w:rsidP="00DB4510">
            <w:r>
              <w:t>6</w:t>
            </w:r>
          </w:p>
        </w:tc>
        <w:tc>
          <w:tcPr>
            <w:tcW w:w="0" w:type="auto"/>
          </w:tcPr>
          <w:p w14:paraId="35BD4210" w14:textId="494C17CB" w:rsidR="00D86D01" w:rsidRPr="00F465D8" w:rsidRDefault="00D86D01" w:rsidP="00DB4510">
            <w:r>
              <w:t>MS</w:t>
            </w:r>
          </w:p>
        </w:tc>
        <w:tc>
          <w:tcPr>
            <w:tcW w:w="1894" w:type="dxa"/>
          </w:tcPr>
          <w:p w14:paraId="389C3741" w14:textId="551D816F" w:rsidR="00D86D01" w:rsidRPr="00F465D8" w:rsidRDefault="00D86D01" w:rsidP="00DB4510">
            <w:r>
              <w:t>MPAI standard</w:t>
            </w:r>
          </w:p>
        </w:tc>
        <w:tc>
          <w:tcPr>
            <w:tcW w:w="6512" w:type="dxa"/>
          </w:tcPr>
          <w:p w14:paraId="5C00917A" w14:textId="5CB5BB5E" w:rsidR="00D86D01" w:rsidRPr="00F465D8" w:rsidRDefault="00D86D01" w:rsidP="004877A2">
            <w:pPr>
              <w:jc w:val="both"/>
            </w:pPr>
            <w:r w:rsidRPr="00D86D01">
              <w:t xml:space="preserve">The standard </w:t>
            </w:r>
            <w:r w:rsidR="004877A2">
              <w:t xml:space="preserve">is approved by the General Assembly after its </w:t>
            </w:r>
            <w:r w:rsidRPr="00D86D01">
              <w:t xml:space="preserve">has been successfully completed </w:t>
            </w:r>
            <w:r w:rsidR="004877A2">
              <w:t xml:space="preserve">and approved by the DC </w:t>
            </w:r>
            <w:r w:rsidRPr="00D86D01">
              <w:t>and all Members have made the appropriate declarations</w:t>
            </w:r>
          </w:p>
        </w:tc>
      </w:tr>
    </w:tbl>
    <w:p w14:paraId="086585EA" w14:textId="39CF042E" w:rsidR="00066468" w:rsidRDefault="00066468" w:rsidP="00066468"/>
    <w:p w14:paraId="13359E5F" w14:textId="0031FCF1" w:rsidR="00694761" w:rsidRDefault="00694761" w:rsidP="006E0377">
      <w:pPr>
        <w:jc w:val="both"/>
      </w:pPr>
      <w:bookmarkStart w:id="0" w:name="_Hlk70789342"/>
      <w:r>
        <w:t>A project progresses from one stage to the next by resolution of the General Assembly.</w:t>
      </w:r>
    </w:p>
    <w:p w14:paraId="55E01C96" w14:textId="5D1805EA" w:rsidR="00066468" w:rsidRDefault="00066468" w:rsidP="006E0377">
      <w:pPr>
        <w:jc w:val="both"/>
      </w:pPr>
      <w:r>
        <w:t xml:space="preserve">The </w:t>
      </w:r>
      <w:r w:rsidR="008B553E">
        <w:t xml:space="preserve">stages of </w:t>
      </w:r>
      <w:r>
        <w:t xml:space="preserve">currently </w:t>
      </w:r>
      <w:r w:rsidR="008B553E">
        <w:t>(MPAI-</w:t>
      </w:r>
      <w:r w:rsidR="0009554D">
        <w:t>10</w:t>
      </w:r>
      <w:r w:rsidR="008B553E">
        <w:t xml:space="preserve">) </w:t>
      </w:r>
      <w:r>
        <w:t xml:space="preserve">active MPAI projects are graphically represented by </w:t>
      </w:r>
      <w:r w:rsidR="00694761">
        <w:fldChar w:fldCharType="begin"/>
      </w:r>
      <w:r w:rsidR="00694761">
        <w:instrText xml:space="preserve"> REF _Ref62224849 \h </w:instrText>
      </w:r>
      <w:r w:rsidR="006E0377">
        <w:instrText xml:space="preserve"> \* MERGEFORMAT </w:instrText>
      </w:r>
      <w:r w:rsidR="00694761"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iCs/>
          <w:noProof/>
          <w:lang w:val="en-US"/>
        </w:rPr>
        <w:t>1</w:t>
      </w:r>
      <w:r w:rsidR="00694761">
        <w:fldChar w:fldCharType="end"/>
      </w:r>
      <w:r w:rsidR="008B553E">
        <w:t>.</w:t>
      </w:r>
    </w:p>
    <w:p w14:paraId="37EB8C77" w14:textId="627880BA" w:rsidR="00694761" w:rsidRDefault="00694761" w:rsidP="00694761">
      <w:pPr>
        <w:jc w:val="center"/>
      </w:pPr>
    </w:p>
    <w:p w14:paraId="43EF550F" w14:textId="758D66C2" w:rsidR="00694761" w:rsidRDefault="002410A7" w:rsidP="00694761">
      <w:pPr>
        <w:jc w:val="center"/>
      </w:pPr>
      <w:r>
        <w:rPr>
          <w:noProof/>
        </w:rPr>
        <w:drawing>
          <wp:inline distT="0" distB="0" distL="0" distR="0" wp14:anchorId="5F203BF7" wp14:editId="17E98B30">
            <wp:extent cx="5932805" cy="15214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292C" w14:textId="1BA01239" w:rsidR="00694761" w:rsidRDefault="00694761" w:rsidP="00694761">
      <w:pPr>
        <w:jc w:val="center"/>
        <w:rPr>
          <w:i/>
          <w:iCs/>
        </w:rPr>
      </w:pPr>
      <w:bookmarkStart w:id="1" w:name="_Ref62224849"/>
      <w:bookmarkStart w:id="2" w:name="_Hlk71474121"/>
      <w:bookmarkStart w:id="3" w:name="_Hlk71477306"/>
      <w:r>
        <w:rPr>
          <w:i/>
          <w:lang w:val="en-US"/>
        </w:rPr>
        <w:t xml:space="preserve">Figure </w:t>
      </w:r>
      <w:r w:rsidRPr="006F16CF">
        <w:rPr>
          <w:i/>
          <w:iCs/>
        </w:rPr>
        <w:fldChar w:fldCharType="begin"/>
      </w:r>
      <w:r w:rsidRPr="006F16CF">
        <w:rPr>
          <w:i/>
          <w:iCs/>
          <w:lang w:val="en-US"/>
        </w:rPr>
        <w:instrText xml:space="preserve"> SEQ Figure \* ARABIC </w:instrText>
      </w:r>
      <w:r w:rsidRPr="006F16CF">
        <w:rPr>
          <w:i/>
          <w:iCs/>
        </w:rPr>
        <w:fldChar w:fldCharType="separate"/>
      </w:r>
      <w:r w:rsidR="002A25B6">
        <w:rPr>
          <w:i/>
          <w:iCs/>
          <w:noProof/>
          <w:lang w:val="en-US"/>
        </w:rPr>
        <w:t>1</w:t>
      </w:r>
      <w:r w:rsidRPr="006F16CF">
        <w:rPr>
          <w:i/>
          <w:iCs/>
        </w:rPr>
        <w:fldChar w:fldCharType="end"/>
      </w:r>
      <w:bookmarkEnd w:id="1"/>
      <w:r w:rsidRPr="006F16CF">
        <w:rPr>
          <w:i/>
          <w:iCs/>
        </w:rPr>
        <w:t xml:space="preserve"> –</w:t>
      </w:r>
      <w:r>
        <w:rPr>
          <w:i/>
          <w:iCs/>
        </w:rPr>
        <w:t xml:space="preserve"> </w:t>
      </w:r>
      <w:bookmarkEnd w:id="2"/>
      <w:r>
        <w:rPr>
          <w:i/>
          <w:iCs/>
        </w:rPr>
        <w:t xml:space="preserve">Snapshot of </w:t>
      </w:r>
      <w:r w:rsidR="008B553E">
        <w:rPr>
          <w:i/>
          <w:iCs/>
        </w:rPr>
        <w:t xml:space="preserve">the </w:t>
      </w:r>
      <w:r>
        <w:rPr>
          <w:i/>
          <w:iCs/>
        </w:rPr>
        <w:t>MPAI work plan</w:t>
      </w:r>
    </w:p>
    <w:p w14:paraId="4CD73A70" w14:textId="0B13B539" w:rsidR="00496C68" w:rsidRDefault="00496C68" w:rsidP="00496C68">
      <w:pPr>
        <w:pStyle w:val="Heading1"/>
      </w:pPr>
      <w:bookmarkStart w:id="4" w:name="_Hlk70788687"/>
      <w:bookmarkEnd w:id="0"/>
      <w:bookmarkEnd w:id="3"/>
      <w:r>
        <w:lastRenderedPageBreak/>
        <w:t xml:space="preserve">Areas at stage </w:t>
      </w:r>
      <w:r w:rsidR="008B553E">
        <w:t>5</w:t>
      </w:r>
      <w:r>
        <w:t xml:space="preserve"> (</w:t>
      </w:r>
      <w:r w:rsidR="008B553E">
        <w:t>SD</w:t>
      </w:r>
      <w:r>
        <w:t>)</w:t>
      </w:r>
    </w:p>
    <w:p w14:paraId="0B31A46F" w14:textId="77777777" w:rsidR="003A2D8F" w:rsidRDefault="003A2D8F" w:rsidP="003A2D8F">
      <w:pPr>
        <w:pStyle w:val="Heading2"/>
        <w:rPr>
          <w:lang w:val="en-GB"/>
        </w:rPr>
      </w:pPr>
      <w:r>
        <w:rPr>
          <w:lang w:val="en-GB"/>
        </w:rPr>
        <w:t>MPAI-AIF</w:t>
      </w:r>
    </w:p>
    <w:p w14:paraId="6DD024E4" w14:textId="465DDA90" w:rsidR="002F7014" w:rsidRDefault="003A2D8F" w:rsidP="002F7014">
      <w:pPr>
        <w:jc w:val="both"/>
      </w:pPr>
      <w:r w:rsidRPr="007A24C5">
        <w:rPr>
          <w:u w:val="single"/>
        </w:rPr>
        <w:t>Artificial Intelligence Framework</w:t>
      </w:r>
      <w:r>
        <w:t xml:space="preserve"> (MPAI-AIF) </w:t>
      </w:r>
      <w:r w:rsidR="00B2147F">
        <w:t xml:space="preserve">enables creation and automation of mixed ML-AI-DP processing and inference workflows for the </w:t>
      </w:r>
      <w:r w:rsidR="00987C93">
        <w:t xml:space="preserve">application </w:t>
      </w:r>
      <w:r w:rsidR="00B2147F">
        <w:t>areas work currently considered at stage</w:t>
      </w:r>
      <w:r w:rsidR="00DF4365">
        <w:t>s</w:t>
      </w:r>
      <w:r w:rsidR="00B2147F">
        <w:t xml:space="preserve"> </w:t>
      </w:r>
      <w:r w:rsidR="00DF4365">
        <w:t xml:space="preserve">1, </w:t>
      </w:r>
      <w:r w:rsidR="00B2147F">
        <w:t xml:space="preserve">2 </w:t>
      </w:r>
      <w:r w:rsidR="00DF4365">
        <w:t xml:space="preserve">and 3 </w:t>
      </w:r>
      <w:r w:rsidR="00B2147F">
        <w:t xml:space="preserve">of the MPAI work plan. </w:t>
      </w:r>
      <w:r w:rsidR="00987C93">
        <w:t>MPAI-AIF will be extended to support new applications areas</w:t>
      </w:r>
      <w:r w:rsidR="00464755">
        <w:t>,</w:t>
      </w:r>
      <w:r w:rsidR="00987C93">
        <w:t xml:space="preserve"> if the need will arise.</w:t>
      </w:r>
    </w:p>
    <w:p w14:paraId="769A3CBD" w14:textId="7DCD6D50" w:rsidR="002F7014" w:rsidRDefault="002F7014" w:rsidP="002F7014">
      <w:pPr>
        <w:jc w:val="both"/>
      </w:pPr>
      <w:r>
        <w:t>The said areas of work share the notion of an environment (the Framework) that includes 6 com</w:t>
      </w:r>
      <w:r>
        <w:softHyphen/>
        <w:t xml:space="preserve">ponents – Management and Control, Execution, </w:t>
      </w:r>
      <w:r w:rsidR="00DF4365">
        <w:t>AI</w:t>
      </w:r>
      <w:r>
        <w:t xml:space="preserve"> Modules (</w:t>
      </w:r>
      <w:r w:rsidR="00DF4365">
        <w:t>AI</w:t>
      </w:r>
      <w:r>
        <w:t xml:space="preserve">M), Communication, Storage and Access. </w:t>
      </w:r>
      <w:r w:rsidR="00DF4365">
        <w:t>AI</w:t>
      </w:r>
      <w:r>
        <w:t>Ms are connected in a variety of topologies and executed under the super</w:t>
      </w:r>
      <w:r w:rsidR="007E1109">
        <w:softHyphen/>
      </w:r>
      <w:r>
        <w:t xml:space="preserve">vision of Management and Control. </w:t>
      </w:r>
      <w:r w:rsidR="00DF4365">
        <w:t>AI</w:t>
      </w:r>
      <w:r>
        <w:t xml:space="preserve">Ms </w:t>
      </w:r>
      <w:r w:rsidR="007E1109">
        <w:t>expose standard interfaces that make them</w:t>
      </w:r>
      <w:r w:rsidR="00464755">
        <w:t xml:space="preserve"> potentially</w:t>
      </w:r>
      <w:r w:rsidR="007E1109">
        <w:t xml:space="preserve"> re-usable in different applications.</w:t>
      </w:r>
      <w:r w:rsidR="00F0439A">
        <w:t xml:space="preserve"> </w:t>
      </w:r>
      <w:r w:rsidR="00F0439A">
        <w:fldChar w:fldCharType="begin"/>
      </w:r>
      <w:r w:rsidR="00F0439A">
        <w:instrText xml:space="preserve"> REF _Ref56356949 \h </w:instrText>
      </w:r>
      <w:r w:rsidR="00F0439A"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iCs/>
          <w:noProof/>
          <w:lang w:val="en-US"/>
        </w:rPr>
        <w:t>2</w:t>
      </w:r>
      <w:r w:rsidR="00F0439A">
        <w:fldChar w:fldCharType="end"/>
      </w:r>
      <w:r w:rsidR="00F0439A">
        <w:t xml:space="preserve"> shows the general MPAI-AIF Reference Model.</w:t>
      </w:r>
    </w:p>
    <w:p w14:paraId="0997F3CF" w14:textId="77777777" w:rsidR="00841698" w:rsidRDefault="00841698" w:rsidP="003A2D8F"/>
    <w:p w14:paraId="36A45BF3" w14:textId="069C0447" w:rsidR="003A2D8F" w:rsidRDefault="00DF4365" w:rsidP="000B3CA3">
      <w:pPr>
        <w:jc w:val="center"/>
      </w:pPr>
      <w:r>
        <w:rPr>
          <w:noProof/>
        </w:rPr>
        <w:drawing>
          <wp:inline distT="0" distB="0" distL="0" distR="0" wp14:anchorId="2A5CCD38" wp14:editId="4539A460">
            <wp:extent cx="5937885" cy="15106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55F1" w14:textId="77777777" w:rsidR="007E1109" w:rsidRDefault="007E1109" w:rsidP="003A2D8F">
      <w:pPr>
        <w:jc w:val="center"/>
        <w:rPr>
          <w:i/>
          <w:lang w:val="en-US"/>
        </w:rPr>
      </w:pPr>
    </w:p>
    <w:p w14:paraId="6EB6DE2A" w14:textId="1C0E31E7" w:rsidR="003A2D8F" w:rsidRDefault="003A2D8F" w:rsidP="003A2D8F">
      <w:pPr>
        <w:jc w:val="center"/>
        <w:rPr>
          <w:i/>
          <w:iCs/>
        </w:rPr>
      </w:pPr>
      <w:bookmarkStart w:id="5" w:name="_Ref56356949"/>
      <w:r>
        <w:rPr>
          <w:i/>
          <w:lang w:val="en-US"/>
        </w:rPr>
        <w:t xml:space="preserve">Figure </w:t>
      </w:r>
      <w:r w:rsidRPr="006F16CF">
        <w:rPr>
          <w:i/>
          <w:iCs/>
        </w:rPr>
        <w:fldChar w:fldCharType="begin"/>
      </w:r>
      <w:r w:rsidRPr="006F16CF">
        <w:rPr>
          <w:i/>
          <w:iCs/>
          <w:lang w:val="en-US"/>
        </w:rPr>
        <w:instrText xml:space="preserve"> SEQ Figure \* ARABIC </w:instrText>
      </w:r>
      <w:r w:rsidRPr="006F16CF">
        <w:rPr>
          <w:i/>
          <w:iCs/>
        </w:rPr>
        <w:fldChar w:fldCharType="separate"/>
      </w:r>
      <w:r w:rsidR="002A25B6">
        <w:rPr>
          <w:i/>
          <w:iCs/>
          <w:noProof/>
          <w:lang w:val="en-US"/>
        </w:rPr>
        <w:t>2</w:t>
      </w:r>
      <w:r w:rsidRPr="006F16CF">
        <w:rPr>
          <w:i/>
          <w:iCs/>
        </w:rPr>
        <w:fldChar w:fldCharType="end"/>
      </w:r>
      <w:bookmarkEnd w:id="5"/>
      <w:r w:rsidRPr="006F16CF">
        <w:rPr>
          <w:i/>
          <w:iCs/>
        </w:rPr>
        <w:t xml:space="preserve"> –</w:t>
      </w:r>
      <w:r w:rsidR="008148D6">
        <w:rPr>
          <w:i/>
          <w:iCs/>
        </w:rPr>
        <w:t xml:space="preserve"> </w:t>
      </w:r>
      <w:r w:rsidR="00B2147F">
        <w:rPr>
          <w:i/>
          <w:iCs/>
        </w:rPr>
        <w:t xml:space="preserve">Reference model </w:t>
      </w:r>
      <w:r w:rsidRPr="006F16CF">
        <w:rPr>
          <w:i/>
          <w:iCs/>
        </w:rPr>
        <w:t>of the MPAI AI Framework</w:t>
      </w:r>
    </w:p>
    <w:p w14:paraId="3C5E6289" w14:textId="77777777" w:rsidR="00E86C64" w:rsidRDefault="00E86C64" w:rsidP="00E86C64">
      <w:pPr>
        <w:jc w:val="both"/>
      </w:pPr>
    </w:p>
    <w:p w14:paraId="3764BD70" w14:textId="0B131D0A" w:rsidR="00E86C64" w:rsidRDefault="00464755" w:rsidP="00E86C64">
      <w:pPr>
        <w:jc w:val="both"/>
      </w:pPr>
      <w:r>
        <w:t xml:space="preserve">Public </w:t>
      </w:r>
      <w:r w:rsidR="00E86C64">
        <w:t>MPAI documents supporting the MPAI-AIF project at the current stage are:</w:t>
      </w:r>
    </w:p>
    <w:p w14:paraId="01AB9359" w14:textId="6D510B71" w:rsidR="00E86C64" w:rsidRDefault="00AA412C" w:rsidP="00AA412C">
      <w:pPr>
        <w:pStyle w:val="ListParagraph"/>
        <w:numPr>
          <w:ilvl w:val="0"/>
          <w:numId w:val="3"/>
        </w:numPr>
      </w:pPr>
      <w:r w:rsidRPr="002F7014">
        <w:t xml:space="preserve">MPAI-AIF </w:t>
      </w:r>
      <w:r w:rsidR="00E86C64" w:rsidRPr="002F7014">
        <w:t>Use Cases &amp; Functional Requirements</w:t>
      </w:r>
      <w:r w:rsidR="00E86C64">
        <w:t xml:space="preserve">, </w:t>
      </w:r>
      <w:r w:rsidR="00E86C64" w:rsidRPr="002F7014">
        <w:t>N74</w:t>
      </w:r>
      <w:r w:rsidR="00E86C64">
        <w:t xml:space="preserve"> [</w:t>
      </w:r>
      <w:r w:rsidR="0065175D">
        <w:fldChar w:fldCharType="begin"/>
      </w:r>
      <w:r w:rsidR="0065175D">
        <w:instrText xml:space="preserve"> REF _Ref61263217 \r \h </w:instrText>
      </w:r>
      <w:r w:rsidR="0065175D">
        <w:fldChar w:fldCharType="separate"/>
      </w:r>
      <w:r w:rsidR="002A25B6">
        <w:t>1</w:t>
      </w:r>
      <w:r w:rsidR="0065175D">
        <w:fldChar w:fldCharType="end"/>
      </w:r>
      <w:r w:rsidR="00E86C64">
        <w:t>]</w:t>
      </w:r>
    </w:p>
    <w:p w14:paraId="2E406379" w14:textId="2062D982" w:rsidR="00E86C64" w:rsidRDefault="00E86C64" w:rsidP="001E7B37">
      <w:pPr>
        <w:pStyle w:val="ListParagraph"/>
        <w:numPr>
          <w:ilvl w:val="0"/>
          <w:numId w:val="3"/>
        </w:numPr>
      </w:pPr>
      <w:r w:rsidRPr="00DF4365">
        <w:t>MPAI-AIF Call for Technologies</w:t>
      </w:r>
      <w:r>
        <w:t xml:space="preserve">, </w:t>
      </w:r>
      <w:r w:rsidRPr="00DF4365">
        <w:t>N100</w:t>
      </w:r>
      <w:r>
        <w:t xml:space="preserve"> [</w:t>
      </w:r>
      <w:r w:rsidR="0065175D">
        <w:fldChar w:fldCharType="begin"/>
      </w:r>
      <w:r w:rsidR="0065175D">
        <w:instrText xml:space="preserve"> REF _Ref64215494 \r \h </w:instrText>
      </w:r>
      <w:r w:rsidR="0065175D">
        <w:fldChar w:fldCharType="separate"/>
      </w:r>
      <w:r w:rsidR="002A25B6">
        <w:t>2</w:t>
      </w:r>
      <w:r w:rsidR="0065175D">
        <w:fldChar w:fldCharType="end"/>
      </w:r>
      <w:r>
        <w:t>]</w:t>
      </w:r>
    </w:p>
    <w:p w14:paraId="7734DDE4" w14:textId="74B4C67E" w:rsidR="00E86C64" w:rsidRDefault="00E86C64" w:rsidP="001E7B37">
      <w:pPr>
        <w:pStyle w:val="ListParagraph"/>
        <w:numPr>
          <w:ilvl w:val="0"/>
          <w:numId w:val="3"/>
        </w:numPr>
      </w:pPr>
      <w:r w:rsidRPr="00DF4365">
        <w:t>MPAI-AIF</w:t>
      </w:r>
      <w:r>
        <w:t xml:space="preserve"> Framework Licence, N101 [</w:t>
      </w:r>
      <w:r w:rsidR="0065175D">
        <w:fldChar w:fldCharType="begin"/>
      </w:r>
      <w:r w:rsidR="0065175D">
        <w:instrText xml:space="preserve"> REF _Hlk64199012 \r \h </w:instrText>
      </w:r>
      <w:r w:rsidR="0065175D">
        <w:fldChar w:fldCharType="separate"/>
      </w:r>
      <w:r w:rsidR="002A25B6">
        <w:t>3</w:t>
      </w:r>
      <w:r w:rsidR="0065175D">
        <w:fldChar w:fldCharType="end"/>
      </w:r>
      <w:r>
        <w:t>]</w:t>
      </w:r>
    </w:p>
    <w:p w14:paraId="2454E828" w14:textId="1E5C97C8" w:rsidR="0065175D" w:rsidRDefault="0065175D" w:rsidP="0065175D">
      <w:r>
        <w:t xml:space="preserve">Stage 6 is expected to be reached in </w:t>
      </w:r>
      <w:r w:rsidR="00342B7A">
        <w:t>October</w:t>
      </w:r>
      <w:r>
        <w:t xml:space="preserve"> 2021.</w:t>
      </w:r>
    </w:p>
    <w:p w14:paraId="6137A853" w14:textId="77777777" w:rsidR="00504122" w:rsidRDefault="00504122" w:rsidP="0065175D"/>
    <w:p w14:paraId="736B244F" w14:textId="2CD25A6F" w:rsidR="002F7014" w:rsidRDefault="002F7014" w:rsidP="002F7014">
      <w:pPr>
        <w:pStyle w:val="Heading1"/>
      </w:pPr>
      <w:r>
        <w:t xml:space="preserve">Areas at stage </w:t>
      </w:r>
      <w:r w:rsidR="008B553E">
        <w:t>4</w:t>
      </w:r>
      <w:r>
        <w:t xml:space="preserve"> (</w:t>
      </w:r>
      <w:r w:rsidR="00DF4365">
        <w:t>C</w:t>
      </w:r>
      <w:r w:rsidR="008B553E">
        <w:t>T</w:t>
      </w:r>
      <w:r>
        <w:t>)</w:t>
      </w:r>
    </w:p>
    <w:p w14:paraId="3D62FA33" w14:textId="78FD58D8" w:rsidR="004D4F80" w:rsidRDefault="004D4F80" w:rsidP="004D4F80">
      <w:pPr>
        <w:pStyle w:val="Heading2"/>
      </w:pPr>
      <w:r>
        <w:rPr>
          <w:lang w:val="en-GB"/>
        </w:rPr>
        <w:t>MPAI-CAE</w:t>
      </w:r>
    </w:p>
    <w:p w14:paraId="7BAE15F8" w14:textId="7FABEFEB" w:rsidR="007E1109" w:rsidRDefault="00496C68" w:rsidP="007E1109">
      <w:pPr>
        <w:jc w:val="both"/>
      </w:pPr>
      <w:r w:rsidRPr="00457DC6">
        <w:rPr>
          <w:u w:val="single"/>
        </w:rPr>
        <w:t>Context-based Audio Enhancement</w:t>
      </w:r>
      <w:r>
        <w:t xml:space="preserve"> (MPAI-CAE)</w:t>
      </w:r>
      <w:bookmarkStart w:id="6" w:name="_Hlk54170841"/>
      <w:r w:rsidR="007E1109">
        <w:t xml:space="preserve"> improve</w:t>
      </w:r>
      <w:r w:rsidR="00F74C9A">
        <w:t>s</w:t>
      </w:r>
      <w:r w:rsidR="007E1109">
        <w:t xml:space="preserve"> the user experience for several audio-related applications including entertainment, communication, teleconferencing, gaming, post-production, restoration etc. i</w:t>
      </w:r>
      <w:r w:rsidR="007E1109" w:rsidRPr="006B72E9">
        <w:t>n a variety of contexts</w:t>
      </w:r>
      <w:r w:rsidR="007E1109">
        <w:t xml:space="preserve"> such as </w:t>
      </w:r>
      <w:r w:rsidR="007E1109" w:rsidRPr="006B72E9">
        <w:t>in the home</w:t>
      </w:r>
      <w:r w:rsidR="007E1109">
        <w:t xml:space="preserve">, </w:t>
      </w:r>
      <w:r w:rsidR="007E1109" w:rsidRPr="006B72E9">
        <w:t>in the car</w:t>
      </w:r>
      <w:r w:rsidR="007E1109">
        <w:t xml:space="preserve">, </w:t>
      </w:r>
      <w:r w:rsidR="007E1109" w:rsidRPr="006B72E9">
        <w:t>on-the-go</w:t>
      </w:r>
      <w:r w:rsidR="007E1109">
        <w:t xml:space="preserve">, </w:t>
      </w:r>
      <w:r w:rsidR="007E1109" w:rsidRPr="006B72E9">
        <w:t xml:space="preserve">in the studio </w:t>
      </w:r>
      <w:r w:rsidR="007E1109">
        <w:t xml:space="preserve">etc. using context information to act on the input audio content using AI, processing such content via </w:t>
      </w:r>
      <w:r w:rsidR="005F1DE2">
        <w:t>AI</w:t>
      </w:r>
      <w:r w:rsidR="007E1109">
        <w:t xml:space="preserve">Ms, and </w:t>
      </w:r>
      <w:r w:rsidR="008B4822">
        <w:t xml:space="preserve">potentially </w:t>
      </w:r>
      <w:r w:rsidR="007E1109">
        <w:t>deliver the processed output via the most appropriate prot</w:t>
      </w:r>
      <w:r w:rsidR="008B4822">
        <w:softHyphen/>
      </w:r>
      <w:r w:rsidR="007E1109">
        <w:t>ocol.</w:t>
      </w:r>
    </w:p>
    <w:p w14:paraId="555D3903" w14:textId="5A4C0AAE" w:rsidR="007E1109" w:rsidRDefault="00C971E5" w:rsidP="007E1109">
      <w:pPr>
        <w:jc w:val="both"/>
        <w:rPr>
          <w:color w:val="000000" w:themeColor="text1"/>
        </w:rPr>
      </w:pPr>
      <w:r>
        <w:t xml:space="preserve">So far, </w:t>
      </w:r>
      <w:r w:rsidR="007E1109">
        <w:t xml:space="preserve">MPAI-CAE </w:t>
      </w:r>
      <w:r>
        <w:t>ha</w:t>
      </w:r>
      <w:r w:rsidR="007E1109">
        <w:t xml:space="preserve">s </w:t>
      </w:r>
      <w:r>
        <w:t xml:space="preserve">been found </w:t>
      </w:r>
      <w:r w:rsidR="007E1109">
        <w:t xml:space="preserve">applicable to 11 usage examples, for 4 of which the definition of </w:t>
      </w:r>
      <w:r w:rsidR="005F1DE2">
        <w:t>AI</w:t>
      </w:r>
      <w:r w:rsidR="007E1109">
        <w:t>M interfaces is</w:t>
      </w:r>
      <w:r w:rsidR="00DF4365">
        <w:t xml:space="preserve"> at an advanced stage</w:t>
      </w:r>
      <w:r w:rsidR="007E1109">
        <w:t xml:space="preserve">: </w:t>
      </w:r>
      <w:r w:rsidR="00DF4365">
        <w:t>Emotion enhanced speech, Audio Recording Preser</w:t>
      </w:r>
      <w:r w:rsidR="008B4822">
        <w:softHyphen/>
      </w:r>
      <w:r w:rsidR="00DF4365">
        <w:t>vation, Enhanced Audioconference Experience and Audio-on-the-go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REF _Ref53306916 \h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3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addresses the </w:t>
      </w:r>
      <w:r w:rsidR="00DF4365">
        <w:t>Em</w:t>
      </w:r>
      <w:r w:rsidR="002B6E43">
        <w:softHyphen/>
      </w:r>
      <w:r w:rsidR="00DF4365">
        <w:t>otion enhanced speech Use Case</w:t>
      </w:r>
      <w:r>
        <w:rPr>
          <w:color w:val="000000" w:themeColor="text1"/>
        </w:rPr>
        <w:t>.</w:t>
      </w:r>
    </w:p>
    <w:p w14:paraId="3175A89C" w14:textId="77777777" w:rsidR="007A4ED5" w:rsidRDefault="007A4ED5" w:rsidP="007A4ED5">
      <w:pPr>
        <w:jc w:val="both"/>
      </w:pPr>
      <w:r>
        <w:t>MPAI documents supporting the MPAI-CAE project at the current stage are:</w:t>
      </w:r>
    </w:p>
    <w:p w14:paraId="09D22C56" w14:textId="5F618D29" w:rsidR="007A4ED5" w:rsidRDefault="007A4ED5" w:rsidP="007A4ED5">
      <w:pPr>
        <w:pStyle w:val="ListParagraph"/>
        <w:numPr>
          <w:ilvl w:val="0"/>
          <w:numId w:val="4"/>
        </w:numPr>
        <w:jc w:val="both"/>
      </w:pPr>
      <w:r>
        <w:t xml:space="preserve">MPAI-CAE </w:t>
      </w:r>
      <w:r w:rsidRPr="00752874">
        <w:t>Use Case</w:t>
      </w:r>
      <w:r>
        <w:t xml:space="preserve"> and Functional Requirements, </w:t>
      </w:r>
      <w:r w:rsidRPr="00F0439A">
        <w:t>N</w:t>
      </w:r>
      <w:r>
        <w:t>151 [</w:t>
      </w:r>
      <w:r>
        <w:fldChar w:fldCharType="begin"/>
      </w:r>
      <w:r>
        <w:instrText xml:space="preserve"> REF _Ref64197723 \r \h  \* MERGEFORMAT </w:instrText>
      </w:r>
      <w:r>
        <w:fldChar w:fldCharType="separate"/>
      </w:r>
      <w:r w:rsidR="002A25B6">
        <w:t>4</w:t>
      </w:r>
      <w:r>
        <w:fldChar w:fldCharType="end"/>
      </w:r>
      <w:r>
        <w:t>]</w:t>
      </w:r>
    </w:p>
    <w:p w14:paraId="5EFB938A" w14:textId="21686CD8" w:rsidR="007A4ED5" w:rsidRDefault="007A4ED5" w:rsidP="007A4ED5">
      <w:pPr>
        <w:pStyle w:val="ListParagraph"/>
        <w:numPr>
          <w:ilvl w:val="0"/>
          <w:numId w:val="4"/>
        </w:numPr>
        <w:jc w:val="both"/>
      </w:pPr>
      <w:r w:rsidRPr="0052046C">
        <w:t>MPAI-CAE Call for Technologies</w:t>
      </w:r>
      <w:r>
        <w:t>, N</w:t>
      </w:r>
      <w:r w:rsidRPr="0052046C">
        <w:t>1</w:t>
      </w:r>
      <w:r>
        <w:t>52 [</w:t>
      </w:r>
      <w:r>
        <w:fldChar w:fldCharType="begin"/>
      </w:r>
      <w:r>
        <w:instrText xml:space="preserve"> REF _Ref64215789 \r \h  \* MERGEFORMAT </w:instrText>
      </w:r>
      <w:r>
        <w:fldChar w:fldCharType="separate"/>
      </w:r>
      <w:r w:rsidR="002A25B6">
        <w:t>5</w:t>
      </w:r>
      <w:r>
        <w:fldChar w:fldCharType="end"/>
      </w:r>
      <w:r>
        <w:t xml:space="preserve">] </w:t>
      </w:r>
    </w:p>
    <w:p w14:paraId="74580D17" w14:textId="60AC8B90" w:rsidR="007A4ED5" w:rsidRDefault="007A4ED5" w:rsidP="007A4ED5">
      <w:pPr>
        <w:pStyle w:val="ListParagraph"/>
        <w:numPr>
          <w:ilvl w:val="0"/>
          <w:numId w:val="4"/>
        </w:numPr>
        <w:jc w:val="both"/>
      </w:pPr>
      <w:r>
        <w:t>MPAI-CAE Framework Licence, N171 [</w:t>
      </w:r>
      <w:r>
        <w:fldChar w:fldCharType="begin"/>
      </w:r>
      <w:r>
        <w:instrText xml:space="preserve"> REF _Ref64197752 \r \h  \* MERGEFORMAT </w:instrText>
      </w:r>
      <w:r>
        <w:fldChar w:fldCharType="separate"/>
      </w:r>
      <w:r w:rsidR="002A25B6">
        <w:t>6</w:t>
      </w:r>
      <w:r>
        <w:fldChar w:fldCharType="end"/>
      </w:r>
      <w:r>
        <w:t>]</w:t>
      </w:r>
    </w:p>
    <w:p w14:paraId="24CF99FD" w14:textId="2AE1F68A" w:rsidR="00342B7A" w:rsidRDefault="00342B7A" w:rsidP="00342B7A">
      <w:r>
        <w:t xml:space="preserve">Stage 6 is expected to be reached in </w:t>
      </w:r>
      <w:r w:rsidR="00CF0924">
        <w:t>Septem</w:t>
      </w:r>
      <w:r>
        <w:t>ber 2021.</w:t>
      </w:r>
    </w:p>
    <w:bookmarkEnd w:id="6"/>
    <w:p w14:paraId="3AABA88D" w14:textId="77EE41CA" w:rsidR="003A5A37" w:rsidRDefault="009A7EF7" w:rsidP="00127C9F">
      <w:pPr>
        <w:jc w:val="center"/>
      </w:pP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0A5EE4C3" wp14:editId="757AC269">
            <wp:extent cx="5685155" cy="28448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C630" w14:textId="63BF2F48" w:rsidR="006A5023" w:rsidRDefault="006A5023" w:rsidP="006A5023">
      <w:pPr>
        <w:jc w:val="center"/>
        <w:rPr>
          <w:i/>
          <w:lang w:val="en-US"/>
        </w:rPr>
      </w:pPr>
      <w:bookmarkStart w:id="7" w:name="_Ref53306916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3</w:t>
      </w:r>
      <w:r>
        <w:fldChar w:fldCharType="end"/>
      </w:r>
      <w:bookmarkEnd w:id="7"/>
      <w:r>
        <w:t xml:space="preserve"> –</w:t>
      </w:r>
      <w:r>
        <w:rPr>
          <w:i/>
          <w:lang w:val="en-US"/>
        </w:rPr>
        <w:t xml:space="preserve"> </w:t>
      </w:r>
      <w:r w:rsidR="00C971E5">
        <w:rPr>
          <w:i/>
          <w:lang w:val="en-US"/>
        </w:rPr>
        <w:t xml:space="preserve">An </w:t>
      </w:r>
      <w:r w:rsidRPr="006A5023">
        <w:rPr>
          <w:i/>
          <w:lang w:val="en-US"/>
        </w:rPr>
        <w:t>MPAI-CAE</w:t>
      </w:r>
      <w:r w:rsidR="00B07346">
        <w:rPr>
          <w:i/>
          <w:lang w:val="en-US"/>
        </w:rPr>
        <w:t xml:space="preserve"> Use Case</w:t>
      </w:r>
      <w:r w:rsidR="00C971E5">
        <w:rPr>
          <w:i/>
          <w:lang w:val="en-US"/>
        </w:rPr>
        <w:t xml:space="preserve">: </w:t>
      </w:r>
      <w:r w:rsidR="00B07346" w:rsidRPr="00A63294">
        <w:rPr>
          <w:i/>
          <w:iCs/>
        </w:rPr>
        <w:t>Emotion-enhanced speech</w:t>
      </w:r>
    </w:p>
    <w:p w14:paraId="2AC9170A" w14:textId="77777777" w:rsidR="00E86C64" w:rsidRDefault="00E86C64" w:rsidP="00E86C64">
      <w:pPr>
        <w:jc w:val="both"/>
      </w:pPr>
    </w:p>
    <w:p w14:paraId="32EA9947" w14:textId="77777777" w:rsidR="00B07346" w:rsidRDefault="00B07346" w:rsidP="00B07346">
      <w:pPr>
        <w:pStyle w:val="Heading2"/>
      </w:pPr>
      <w:r>
        <w:t>MPAI-MMC</w:t>
      </w:r>
    </w:p>
    <w:p w14:paraId="6D0712C8" w14:textId="4DCB7FCF" w:rsidR="00B07346" w:rsidRDefault="00B07346" w:rsidP="005B6668">
      <w:pPr>
        <w:jc w:val="both"/>
      </w:pPr>
      <w:bookmarkStart w:id="8" w:name="_Hlk55037977"/>
      <w:r w:rsidRPr="00746DE7">
        <w:rPr>
          <w:u w:val="single"/>
        </w:rPr>
        <w:t>Multi-modal conversation</w:t>
      </w:r>
      <w:r>
        <w:t xml:space="preserve"> (</w:t>
      </w:r>
      <w:bookmarkStart w:id="9" w:name="_Hlk53306664"/>
      <w:r>
        <w:t>MPAI-MMC</w:t>
      </w:r>
      <w:bookmarkEnd w:id="9"/>
      <w:r>
        <w:t xml:space="preserve">) </w:t>
      </w:r>
      <w:bookmarkStart w:id="10" w:name="_Hlk54172007"/>
      <w:r w:rsidRPr="00417D47">
        <w:t>aims to enable human-machine conversation that emul</w:t>
      </w:r>
      <w:r w:rsidR="005B6668">
        <w:softHyphen/>
      </w:r>
      <w:r w:rsidRPr="00417D47">
        <w:t>ates human-human conversation in completeness and intensity by using AI</w:t>
      </w:r>
      <w:bookmarkEnd w:id="10"/>
      <w:r w:rsidRPr="00417D47">
        <w:t>.</w:t>
      </w:r>
    </w:p>
    <w:p w14:paraId="43686244" w14:textId="01AE826F" w:rsidR="00B07346" w:rsidRDefault="00B07346" w:rsidP="005B6668">
      <w:pPr>
        <w:jc w:val="both"/>
      </w:pPr>
      <w:r>
        <w:t>So far, 3 Use Cases have been identified for MPAI-MMC: Conversation with emotion, Multimodal Question Answering (QA) and Personalized Automatic Speech Translation.</w:t>
      </w:r>
    </w:p>
    <w:p w14:paraId="1ECE9AE4" w14:textId="1D90EFDE" w:rsidR="00C0706C" w:rsidRDefault="00C0706C" w:rsidP="005B6668">
      <w:pPr>
        <w:jc w:val="both"/>
      </w:pPr>
      <w:r>
        <w:fldChar w:fldCharType="begin"/>
      </w:r>
      <w:r>
        <w:instrText xml:space="preserve"> REF _Ref58691628 \h </w:instrText>
      </w:r>
      <w:r w:rsidR="005B6668">
        <w:instrText xml:space="preserve"> \* MERGEFORMAT </w:instrText>
      </w:r>
      <w:r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4</w:t>
      </w:r>
      <w:r>
        <w:fldChar w:fldCharType="end"/>
      </w:r>
      <w:r>
        <w:t xml:space="preserve"> addresses the </w:t>
      </w:r>
      <w:r w:rsidRPr="00C0706C">
        <w:t>Conversation with emotion</w:t>
      </w:r>
      <w:r>
        <w:t xml:space="preserve"> Use Case.</w:t>
      </w:r>
    </w:p>
    <w:p w14:paraId="77FDC92B" w14:textId="77777777" w:rsidR="00B07346" w:rsidRDefault="00B07346" w:rsidP="00B07346"/>
    <w:p w14:paraId="5E1B61B1" w14:textId="1DD5F4AB" w:rsidR="00B07346" w:rsidRDefault="00F34DAF" w:rsidP="00B07346">
      <w:pPr>
        <w:jc w:val="center"/>
        <w:rPr>
          <w:i/>
          <w:lang w:val="en-US"/>
        </w:rPr>
      </w:pPr>
      <w:bookmarkStart w:id="11" w:name="_Ref53307201"/>
      <w:bookmarkEnd w:id="8"/>
      <w:r>
        <w:rPr>
          <w:rFonts w:eastAsia="Times New Roman"/>
          <w:noProof/>
          <w:lang w:eastAsia="en-GB"/>
        </w:rPr>
        <w:drawing>
          <wp:inline distT="0" distB="0" distL="0" distR="0" wp14:anchorId="3417FB7F" wp14:editId="1717F388">
            <wp:extent cx="5935345" cy="2546985"/>
            <wp:effectExtent l="0" t="0" r="8255" b="5715"/>
            <wp:docPr id="3" name="Picture 3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DA3F" w14:textId="196BACE3" w:rsidR="00B07346" w:rsidRDefault="00B07346" w:rsidP="00B07346">
      <w:pPr>
        <w:jc w:val="center"/>
        <w:rPr>
          <w:i/>
          <w:lang w:val="en-US"/>
        </w:rPr>
      </w:pPr>
      <w:bookmarkStart w:id="12" w:name="_Ref58691628"/>
      <w:bookmarkEnd w:id="11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4</w:t>
      </w:r>
      <w:r>
        <w:fldChar w:fldCharType="end"/>
      </w:r>
      <w:bookmarkEnd w:id="12"/>
      <w:r>
        <w:t xml:space="preserve"> –</w:t>
      </w:r>
      <w:r>
        <w:rPr>
          <w:i/>
          <w:lang w:val="en-US"/>
        </w:rPr>
        <w:t xml:space="preserve"> An </w:t>
      </w:r>
      <w:r w:rsidRPr="006A5023">
        <w:rPr>
          <w:i/>
          <w:lang w:val="en-US"/>
        </w:rPr>
        <w:t>MPAI-</w:t>
      </w:r>
      <w:r w:rsidR="009430B1">
        <w:rPr>
          <w:i/>
          <w:lang w:val="en-US"/>
        </w:rPr>
        <w:t>MMC Use Case</w:t>
      </w:r>
      <w:r>
        <w:rPr>
          <w:i/>
          <w:lang w:val="en-US"/>
        </w:rPr>
        <w:t>: Conversation with emotion</w:t>
      </w:r>
    </w:p>
    <w:p w14:paraId="61667DA5" w14:textId="2B71369B" w:rsidR="00E86C64" w:rsidRDefault="00E86C64" w:rsidP="00E86C64">
      <w:pPr>
        <w:rPr>
          <w:i/>
          <w:lang w:val="en-US"/>
        </w:rPr>
      </w:pPr>
    </w:p>
    <w:p w14:paraId="7C989B9F" w14:textId="5477B408" w:rsidR="002F3EEE" w:rsidRDefault="002F3EEE" w:rsidP="002F3EEE">
      <w:pPr>
        <w:jc w:val="both"/>
      </w:pPr>
      <w:r>
        <w:t>MPAI documents supporting the MPAI-</w:t>
      </w:r>
      <w:r w:rsidR="007A60B4">
        <w:t>MMC</w:t>
      </w:r>
      <w:r>
        <w:t xml:space="preserve"> project at the current stage are:</w:t>
      </w:r>
    </w:p>
    <w:p w14:paraId="782DBE21" w14:textId="68C16C63" w:rsidR="00E86C64" w:rsidRDefault="00E86C64" w:rsidP="001E7B37">
      <w:pPr>
        <w:pStyle w:val="ListParagraph"/>
        <w:numPr>
          <w:ilvl w:val="0"/>
          <w:numId w:val="5"/>
        </w:numPr>
      </w:pPr>
      <w:r>
        <w:t xml:space="preserve">MPAI-MMC </w:t>
      </w:r>
      <w:r w:rsidRPr="00752874">
        <w:t>Use Case</w:t>
      </w:r>
      <w:r>
        <w:t xml:space="preserve"> and Functional Requirement</w:t>
      </w:r>
      <w:r w:rsidR="002F3EEE">
        <w:t>s</w:t>
      </w:r>
      <w:r>
        <w:t xml:space="preserve">, </w:t>
      </w:r>
      <w:r w:rsidRPr="00F0439A">
        <w:t>N</w:t>
      </w:r>
      <w:r>
        <w:t>1</w:t>
      </w:r>
      <w:r w:rsidR="003A4183">
        <w:t>5</w:t>
      </w:r>
      <w:r>
        <w:t>3</w:t>
      </w:r>
      <w:r w:rsidR="002F3EEE">
        <w:t xml:space="preserve"> [</w:t>
      </w:r>
      <w:r w:rsidR="003A4183">
        <w:fldChar w:fldCharType="begin"/>
      </w:r>
      <w:r w:rsidR="003A4183">
        <w:instrText xml:space="preserve"> REF _Ref64216331 \r \h </w:instrText>
      </w:r>
      <w:r w:rsidR="003A4183">
        <w:fldChar w:fldCharType="separate"/>
      </w:r>
      <w:r w:rsidR="002A25B6">
        <w:t>7</w:t>
      </w:r>
      <w:r w:rsidR="003A4183">
        <w:fldChar w:fldCharType="end"/>
      </w:r>
      <w:r w:rsidR="002F3EEE">
        <w:t>]</w:t>
      </w:r>
      <w:r w:rsidR="00890469">
        <w:t xml:space="preserve"> </w:t>
      </w:r>
    </w:p>
    <w:p w14:paraId="0DE3FF16" w14:textId="42342375" w:rsidR="00E86C64" w:rsidRPr="005B6668" w:rsidRDefault="00E86C64" w:rsidP="001E7B37">
      <w:pPr>
        <w:pStyle w:val="ListParagraph"/>
        <w:numPr>
          <w:ilvl w:val="0"/>
          <w:numId w:val="5"/>
        </w:numPr>
      </w:pPr>
      <w:r w:rsidRPr="005B6668">
        <w:t>MPAI-MMC Call for Technologies, N1</w:t>
      </w:r>
      <w:r w:rsidR="003A4183" w:rsidRPr="005B6668">
        <w:t>5</w:t>
      </w:r>
      <w:r w:rsidRPr="005B6668">
        <w:t>4</w:t>
      </w:r>
      <w:r w:rsidR="002F3EEE" w:rsidRPr="005B6668">
        <w:t xml:space="preserve"> [</w:t>
      </w:r>
      <w:r w:rsidR="003A4183" w:rsidRPr="005B6668">
        <w:fldChar w:fldCharType="begin"/>
      </w:r>
      <w:r w:rsidR="003A4183" w:rsidRPr="005B6668">
        <w:instrText xml:space="preserve"> REF _Ref64216358 \r \h </w:instrText>
      </w:r>
      <w:r w:rsidR="005B6668" w:rsidRPr="005B6668">
        <w:instrText xml:space="preserve"> \* MERGEFORMAT </w:instrText>
      </w:r>
      <w:r w:rsidR="003A4183" w:rsidRPr="005B6668">
        <w:fldChar w:fldCharType="separate"/>
      </w:r>
      <w:r w:rsidR="002A25B6">
        <w:t>8</w:t>
      </w:r>
      <w:r w:rsidR="003A4183" w:rsidRPr="005B6668">
        <w:fldChar w:fldCharType="end"/>
      </w:r>
      <w:r w:rsidR="003A4183" w:rsidRPr="005B6668">
        <w:t>]</w:t>
      </w:r>
    </w:p>
    <w:p w14:paraId="069E6EB6" w14:textId="4929C110" w:rsidR="003A4183" w:rsidRDefault="003A4183" w:rsidP="003A4183">
      <w:pPr>
        <w:pStyle w:val="ListParagraph"/>
        <w:numPr>
          <w:ilvl w:val="0"/>
          <w:numId w:val="5"/>
        </w:numPr>
      </w:pPr>
      <w:r>
        <w:t>MPAI-MMC Framework Licence, N173</w:t>
      </w:r>
      <w:r w:rsidR="000F1C22">
        <w:t xml:space="preserve"> [</w:t>
      </w:r>
      <w:r w:rsidR="000F1C22">
        <w:fldChar w:fldCharType="begin"/>
      </w:r>
      <w:r w:rsidR="000F1C22">
        <w:instrText xml:space="preserve"> REF _Ref64216375 \r \h </w:instrText>
      </w:r>
      <w:r w:rsidR="000F1C22">
        <w:fldChar w:fldCharType="separate"/>
      </w:r>
      <w:r w:rsidR="002A25B6">
        <w:t>9</w:t>
      </w:r>
      <w:r w:rsidR="000F1C22">
        <w:fldChar w:fldCharType="end"/>
      </w:r>
      <w:r w:rsidR="000F1C22">
        <w:t>]</w:t>
      </w:r>
    </w:p>
    <w:p w14:paraId="2E42D4F8" w14:textId="6DE25828" w:rsidR="00CF0924" w:rsidRDefault="00CF0924" w:rsidP="00CF0924">
      <w:r>
        <w:t>Stage 6 is expected to be reached in September 2021.</w:t>
      </w:r>
    </w:p>
    <w:p w14:paraId="4E8A733D" w14:textId="77777777" w:rsidR="00B07346" w:rsidRDefault="00B07346" w:rsidP="00B07346">
      <w:pPr>
        <w:pStyle w:val="Heading2"/>
        <w:rPr>
          <w:lang w:val="en-GB"/>
        </w:rPr>
      </w:pPr>
      <w:r>
        <w:rPr>
          <w:lang w:val="en-GB"/>
        </w:rPr>
        <w:lastRenderedPageBreak/>
        <w:t>MPAI-CUI</w:t>
      </w:r>
    </w:p>
    <w:p w14:paraId="3073C2FA" w14:textId="0AE015C6" w:rsidR="00B07346" w:rsidRDefault="00B07346" w:rsidP="00B07346">
      <w:pPr>
        <w:jc w:val="both"/>
      </w:pPr>
      <w:r w:rsidRPr="00A83390">
        <w:rPr>
          <w:u w:val="single"/>
        </w:rPr>
        <w:t xml:space="preserve">Compression and understanding of </w:t>
      </w:r>
      <w:r>
        <w:rPr>
          <w:u w:val="single"/>
        </w:rPr>
        <w:t>industrial</w:t>
      </w:r>
      <w:r w:rsidRPr="00A83390">
        <w:rPr>
          <w:u w:val="single"/>
        </w:rPr>
        <w:t xml:space="preserve"> data</w:t>
      </w:r>
      <w:r>
        <w:t xml:space="preserve"> (MPAI-CUI) aims to enable AI-based filtering and extraction of key information </w:t>
      </w:r>
      <w:r w:rsidR="00DF1E3F">
        <w:t>to predict company performance by applying Artificial Intellig</w:t>
      </w:r>
      <w:r w:rsidR="00DF1E3F">
        <w:softHyphen/>
        <w:t>ence to governance, financial and risk data.</w:t>
      </w:r>
    </w:p>
    <w:p w14:paraId="32BE0ED4" w14:textId="72D894E3" w:rsidR="00B07346" w:rsidRDefault="00B07346" w:rsidP="00B07346">
      <w:pPr>
        <w:jc w:val="both"/>
      </w:pPr>
      <w:r>
        <w:t>MPAI-CUI requires standardisation of all data formats to be fed into an AI machine to extract information that is relevant to the intended use.</w:t>
      </w:r>
      <w:r w:rsidR="00C0706C">
        <w:t xml:space="preserve"> Converted data undergo a further conversion and are then fed to specific neural networks</w:t>
      </w:r>
      <w:r>
        <w:t>. This is depicted in</w:t>
      </w:r>
      <w:r w:rsidR="002F3EEE">
        <w:t xml:space="preserve"> </w:t>
      </w:r>
      <w:r w:rsidR="002F3EEE">
        <w:fldChar w:fldCharType="begin"/>
      </w:r>
      <w:r w:rsidR="002F3EEE">
        <w:instrText xml:space="preserve"> REF _Ref62225896 \h </w:instrText>
      </w:r>
      <w:r w:rsidR="002F3EEE"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5</w:t>
      </w:r>
      <w:r w:rsidR="002F3EEE">
        <w:fldChar w:fldCharType="end"/>
      </w:r>
      <w:r>
        <w:t>.</w:t>
      </w:r>
    </w:p>
    <w:p w14:paraId="7D5A5B6E" w14:textId="77777777" w:rsidR="00C0706C" w:rsidRDefault="00C0706C" w:rsidP="00B07346">
      <w:pPr>
        <w:jc w:val="both"/>
      </w:pPr>
    </w:p>
    <w:p w14:paraId="404B9F20" w14:textId="61BDA6FB" w:rsidR="00B07346" w:rsidRPr="00871EFB" w:rsidRDefault="00B85E63" w:rsidP="00B07346">
      <w:pPr>
        <w:jc w:val="center"/>
        <w:rPr>
          <w:i/>
          <w:lang w:val="en-US"/>
        </w:rPr>
      </w:pPr>
      <w:r>
        <w:rPr>
          <w:i/>
          <w:noProof/>
          <w:lang w:val="en-US"/>
        </w:rPr>
        <w:drawing>
          <wp:inline distT="0" distB="0" distL="0" distR="0" wp14:anchorId="474A4C34" wp14:editId="4EAD19A5">
            <wp:extent cx="5937250" cy="24384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4789" w14:textId="34DE8A2E" w:rsidR="00B07346" w:rsidRDefault="00B07346" w:rsidP="00B07346">
      <w:pPr>
        <w:jc w:val="center"/>
        <w:rPr>
          <w:i/>
          <w:lang w:val="en-US"/>
        </w:rPr>
      </w:pPr>
      <w:bookmarkStart w:id="13" w:name="_Ref62225896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5</w:t>
      </w:r>
      <w:r>
        <w:fldChar w:fldCharType="end"/>
      </w:r>
      <w:bookmarkEnd w:id="13"/>
      <w:r>
        <w:t xml:space="preserve"> –</w:t>
      </w:r>
      <w:r>
        <w:rPr>
          <w:i/>
          <w:lang w:val="en-US"/>
        </w:rPr>
        <w:t xml:space="preserve"> </w:t>
      </w:r>
      <w:r w:rsidR="001E1316">
        <w:rPr>
          <w:i/>
          <w:lang w:val="en-US"/>
        </w:rPr>
        <w:t xml:space="preserve">The </w:t>
      </w:r>
      <w:r w:rsidRPr="006A5023">
        <w:rPr>
          <w:i/>
          <w:lang w:val="en-US"/>
        </w:rPr>
        <w:t>MPAI-</w:t>
      </w:r>
      <w:r>
        <w:rPr>
          <w:i/>
          <w:lang w:val="en-US"/>
        </w:rPr>
        <w:t>CUI</w:t>
      </w:r>
      <w:r w:rsidR="001E1316">
        <w:rPr>
          <w:i/>
          <w:lang w:val="en-US"/>
        </w:rPr>
        <w:t xml:space="preserve"> Use Case</w:t>
      </w:r>
    </w:p>
    <w:p w14:paraId="1B6E8EA6" w14:textId="7B6342A7" w:rsidR="002F3EEE" w:rsidRDefault="002F3EEE" w:rsidP="002F3EEE">
      <w:pPr>
        <w:rPr>
          <w:i/>
          <w:lang w:val="en-US"/>
        </w:rPr>
      </w:pPr>
    </w:p>
    <w:p w14:paraId="0D9D19E9" w14:textId="1C54BC40" w:rsidR="007A60B4" w:rsidRDefault="007A60B4" w:rsidP="001A37B3">
      <w:pPr>
        <w:jc w:val="both"/>
      </w:pPr>
      <w:r>
        <w:t>MPAI documents supporting the MPAI-CUI project at the current stage are:</w:t>
      </w:r>
    </w:p>
    <w:p w14:paraId="62CCF955" w14:textId="73A473F8" w:rsidR="007A60B4" w:rsidRDefault="007A60B4" w:rsidP="001A37B3">
      <w:pPr>
        <w:pStyle w:val="ListParagraph"/>
        <w:numPr>
          <w:ilvl w:val="0"/>
          <w:numId w:val="8"/>
        </w:numPr>
        <w:jc w:val="both"/>
      </w:pPr>
      <w:r w:rsidRPr="00C0706C">
        <w:t>MPAI-CUI Use Cases and Functional Requirement</w:t>
      </w:r>
      <w:r>
        <w:t xml:space="preserve">, </w:t>
      </w:r>
      <w:r w:rsidRPr="00C0706C">
        <w:t>N</w:t>
      </w:r>
      <w:r w:rsidR="005B6668">
        <w:t>200</w:t>
      </w:r>
      <w:r>
        <w:t xml:space="preserve"> [</w:t>
      </w:r>
      <w:r w:rsidR="000F1C22">
        <w:fldChar w:fldCharType="begin"/>
      </w:r>
      <w:r w:rsidR="000F1C22">
        <w:instrText xml:space="preserve"> REF _Ref62226495 \r \h </w:instrText>
      </w:r>
      <w:r w:rsidR="001A37B3">
        <w:instrText xml:space="preserve"> \* MERGEFORMAT </w:instrText>
      </w:r>
      <w:r w:rsidR="000F1C22">
        <w:fldChar w:fldCharType="separate"/>
      </w:r>
      <w:r w:rsidR="002A25B6">
        <w:t>10</w:t>
      </w:r>
      <w:r w:rsidR="000F1C22">
        <w:fldChar w:fldCharType="end"/>
      </w:r>
      <w:r>
        <w:t>]</w:t>
      </w:r>
      <w:r w:rsidR="00890469">
        <w:t xml:space="preserve"> </w:t>
      </w:r>
    </w:p>
    <w:p w14:paraId="49BC3723" w14:textId="3F3814AB" w:rsidR="005B6668" w:rsidRPr="005B6668" w:rsidRDefault="005B6668" w:rsidP="001A37B3">
      <w:pPr>
        <w:pStyle w:val="ListParagraph"/>
        <w:numPr>
          <w:ilvl w:val="0"/>
          <w:numId w:val="8"/>
        </w:numPr>
        <w:jc w:val="both"/>
      </w:pPr>
      <w:r w:rsidRPr="005B6668">
        <w:t>MPAI-C</w:t>
      </w:r>
      <w:r>
        <w:t>UI</w:t>
      </w:r>
      <w:r w:rsidRPr="005B6668">
        <w:t xml:space="preserve"> Call for Technologies, N</w:t>
      </w:r>
      <w:r>
        <w:t>201</w:t>
      </w:r>
      <w:r w:rsidRPr="005B6668">
        <w:t xml:space="preserve"> [</w:t>
      </w:r>
      <w:r>
        <w:fldChar w:fldCharType="begin"/>
      </w:r>
      <w:r>
        <w:instrText xml:space="preserve"> REF _Ref66617210 \r \h </w:instrText>
      </w:r>
      <w:r w:rsidR="001A37B3">
        <w:instrText xml:space="preserve"> \* MERGEFORMAT </w:instrText>
      </w:r>
      <w:r>
        <w:fldChar w:fldCharType="separate"/>
      </w:r>
      <w:r w:rsidR="002A25B6">
        <w:t>11</w:t>
      </w:r>
      <w:r>
        <w:fldChar w:fldCharType="end"/>
      </w:r>
      <w:r w:rsidRPr="005B6668">
        <w:t>]</w:t>
      </w:r>
    </w:p>
    <w:p w14:paraId="549C25C3" w14:textId="1826BC08" w:rsidR="005B6668" w:rsidRDefault="005B6668" w:rsidP="001A37B3">
      <w:pPr>
        <w:pStyle w:val="ListParagraph"/>
        <w:numPr>
          <w:ilvl w:val="0"/>
          <w:numId w:val="8"/>
        </w:numPr>
        <w:jc w:val="both"/>
      </w:pPr>
      <w:r>
        <w:t>MPAI-CUI Framework Licence, N202 [</w:t>
      </w:r>
      <w:r>
        <w:fldChar w:fldCharType="begin"/>
      </w:r>
      <w:r>
        <w:instrText xml:space="preserve"> REF _Ref66617233 \r \h </w:instrText>
      </w:r>
      <w:r w:rsidR="001A37B3">
        <w:instrText xml:space="preserve"> \* MERGEFORMAT </w:instrText>
      </w:r>
      <w:r>
        <w:fldChar w:fldCharType="separate"/>
      </w:r>
      <w:r w:rsidR="002A25B6">
        <w:t>12</w:t>
      </w:r>
      <w:r>
        <w:fldChar w:fldCharType="end"/>
      </w:r>
      <w:r>
        <w:t>]</w:t>
      </w:r>
    </w:p>
    <w:p w14:paraId="6E3C2616" w14:textId="321E0A47" w:rsidR="006E58FE" w:rsidRDefault="006E58FE" w:rsidP="006E58FE">
      <w:r>
        <w:t>Stage 6 is expected to be reached in July 2021.</w:t>
      </w:r>
    </w:p>
    <w:p w14:paraId="098D1F10" w14:textId="77777777" w:rsidR="006E58FE" w:rsidRDefault="006E58FE" w:rsidP="006E58FE">
      <w:pPr>
        <w:jc w:val="both"/>
      </w:pPr>
    </w:p>
    <w:p w14:paraId="015CE6B4" w14:textId="77777777" w:rsidR="008B553E" w:rsidRDefault="008B553E" w:rsidP="008B553E">
      <w:pPr>
        <w:pStyle w:val="Heading1"/>
      </w:pPr>
      <w:r>
        <w:t>Areas at stage 2 (FR)</w:t>
      </w:r>
    </w:p>
    <w:p w14:paraId="5076D3CB" w14:textId="77777777" w:rsidR="008B4822" w:rsidRDefault="008B4822" w:rsidP="008B4822">
      <w:pPr>
        <w:pStyle w:val="Heading2"/>
        <w:rPr>
          <w:lang w:val="en-GB"/>
        </w:rPr>
      </w:pPr>
      <w:r>
        <w:rPr>
          <w:lang w:val="en-GB"/>
        </w:rPr>
        <w:t>MPAI-SPG</w:t>
      </w:r>
    </w:p>
    <w:p w14:paraId="79A7EF0E" w14:textId="6FB02BE6" w:rsidR="008B4822" w:rsidRDefault="008B4822" w:rsidP="008B4822">
      <w:bookmarkStart w:id="14" w:name="_Hlk52656891"/>
      <w:bookmarkStart w:id="15" w:name="_Hlk55036549"/>
      <w:bookmarkStart w:id="16" w:name="_Hlk53392752"/>
      <w:r w:rsidRPr="00F60B90">
        <w:rPr>
          <w:u w:val="single"/>
        </w:rPr>
        <w:t>Server-based Predictive Multiplayer Gaming</w:t>
      </w:r>
      <w:bookmarkEnd w:id="14"/>
      <w:r>
        <w:t xml:space="preserve"> (MPAI-SPG) </w:t>
      </w:r>
      <w:bookmarkStart w:id="17" w:name="_Hlk54171639"/>
      <w:r>
        <w:t xml:space="preserve">aims to </w:t>
      </w:r>
      <w:r w:rsidRPr="00C56E55">
        <w:t>minimi</w:t>
      </w:r>
      <w:r>
        <w:t>se</w:t>
      </w:r>
      <w:r w:rsidRPr="00C56E55">
        <w:t xml:space="preserve"> the </w:t>
      </w:r>
      <w:r>
        <w:t>audio-</w:t>
      </w:r>
      <w:r w:rsidRPr="00C56E55">
        <w:t xml:space="preserve">visual </w:t>
      </w:r>
      <w:r>
        <w:t xml:space="preserve">and gameplay </w:t>
      </w:r>
      <w:r w:rsidRPr="00C56E55">
        <w:t>discontinuities</w:t>
      </w:r>
      <w:r>
        <w:t xml:space="preserve"> caused by high latency or packet losses during an online real-time game. </w:t>
      </w:r>
      <w:bookmarkEnd w:id="17"/>
      <w:r>
        <w:t xml:space="preserve">In case information from a client is missing, the data </w:t>
      </w:r>
      <w:r w:rsidRPr="00C56E55">
        <w:t>collect</w:t>
      </w:r>
      <w:r>
        <w:t>ed</w:t>
      </w:r>
      <w:r w:rsidRPr="00C56E55">
        <w:t xml:space="preserve"> from </w:t>
      </w:r>
      <w:r>
        <w:t xml:space="preserve">the </w:t>
      </w:r>
      <w:r w:rsidRPr="00C56E55">
        <w:t>clients involved in a particular game</w:t>
      </w:r>
      <w:r>
        <w:t xml:space="preserve"> are fed to an AI-based system that </w:t>
      </w:r>
      <w:r w:rsidRPr="00C56E55">
        <w:t>predict</w:t>
      </w:r>
      <w:r>
        <w:t>s</w:t>
      </w:r>
      <w:r w:rsidRPr="00C56E55">
        <w:t xml:space="preserve"> </w:t>
      </w:r>
      <w:r>
        <w:t xml:space="preserve">the </w:t>
      </w:r>
      <w:r w:rsidRPr="00C56E55">
        <w:t>move</w:t>
      </w:r>
      <w:r>
        <w:t>s of the client whose data are missing.</w:t>
      </w:r>
      <w:r w:rsidR="007A4ED5">
        <w:t xml:space="preserve"> The same technologies provide a response to the need to detect who amongst the players is cheating.</w:t>
      </w:r>
    </w:p>
    <w:p w14:paraId="3A8AE3E6" w14:textId="59DCF99A" w:rsidR="008B4822" w:rsidRDefault="008B4822" w:rsidP="008B4822">
      <w:r>
        <w:fldChar w:fldCharType="begin"/>
      </w:r>
      <w:r>
        <w:instrText xml:space="preserve"> REF _Ref62226875 \h </w:instrText>
      </w:r>
      <w:r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6</w:t>
      </w:r>
      <w:r>
        <w:fldChar w:fldCharType="end"/>
      </w:r>
      <w:r>
        <w:t xml:space="preserve"> depicts the MPAI-SPG reference model</w:t>
      </w:r>
      <w:r w:rsidR="007A4ED5">
        <w:t xml:space="preserve"> including the cloud gaming model</w:t>
      </w:r>
      <w:r>
        <w:t>.</w:t>
      </w:r>
    </w:p>
    <w:p w14:paraId="09DF5214" w14:textId="77777777" w:rsidR="00504122" w:rsidRDefault="00504122" w:rsidP="00504122">
      <w:r>
        <w:t>Public MPAI document supporting the MPAI-SPG work area is:</w:t>
      </w:r>
    </w:p>
    <w:p w14:paraId="575C8D60" w14:textId="493E4236" w:rsidR="00504122" w:rsidRPr="00683505" w:rsidRDefault="00504122" w:rsidP="00504122">
      <w:pPr>
        <w:pStyle w:val="ListParagraph"/>
        <w:numPr>
          <w:ilvl w:val="0"/>
          <w:numId w:val="11"/>
        </w:numPr>
        <w:jc w:val="both"/>
        <w:rPr>
          <w:iCs/>
          <w:lang w:val="en-US"/>
        </w:rPr>
      </w:pPr>
      <w:r w:rsidRPr="00C0706C">
        <w:t>MPAI-</w:t>
      </w:r>
      <w:r>
        <w:t>SPG</w:t>
      </w:r>
      <w:r w:rsidRPr="00C0706C">
        <w:t xml:space="preserve"> Use Cases and Functional Requirement</w:t>
      </w:r>
      <w:r>
        <w:t>, N214 [</w:t>
      </w:r>
      <w:r>
        <w:fldChar w:fldCharType="begin"/>
      </w:r>
      <w:r>
        <w:instrText xml:space="preserve"> REF _Ref64217495 \r \h </w:instrText>
      </w:r>
      <w:r>
        <w:fldChar w:fldCharType="separate"/>
      </w:r>
      <w:r w:rsidR="002A25B6">
        <w:t>14</w:t>
      </w:r>
      <w:r>
        <w:fldChar w:fldCharType="end"/>
      </w:r>
      <w:r>
        <w:t>]</w:t>
      </w:r>
    </w:p>
    <w:p w14:paraId="14A879FD" w14:textId="77777777" w:rsidR="00504122" w:rsidRPr="00683505" w:rsidRDefault="00504122" w:rsidP="00504122">
      <w:pPr>
        <w:jc w:val="both"/>
        <w:rPr>
          <w:iCs/>
          <w:lang w:val="en-US"/>
        </w:rPr>
      </w:pPr>
      <w:r w:rsidRPr="00683505">
        <w:rPr>
          <w:color w:val="000000" w:themeColor="text1"/>
        </w:rPr>
        <w:t xml:space="preserve">MPAI </w:t>
      </w:r>
      <w:r>
        <w:rPr>
          <w:color w:val="000000" w:themeColor="text1"/>
        </w:rPr>
        <w:t>is currently engaged in the MPAI-SPG Design Verification Project.</w:t>
      </w:r>
    </w:p>
    <w:p w14:paraId="1EEA4D7E" w14:textId="77777777" w:rsidR="00504122" w:rsidRPr="00504122" w:rsidRDefault="00504122" w:rsidP="008B4822">
      <w:pPr>
        <w:rPr>
          <w:lang w:val="en-US"/>
        </w:rPr>
      </w:pPr>
    </w:p>
    <w:p w14:paraId="7D55B31C" w14:textId="77777777" w:rsidR="008B4822" w:rsidRDefault="008B4822" w:rsidP="008B4822"/>
    <w:bookmarkEnd w:id="15"/>
    <w:p w14:paraId="5BC54117" w14:textId="6C3B81CC" w:rsidR="008B4822" w:rsidRDefault="007A4ED5" w:rsidP="008B4822">
      <w:pPr>
        <w:jc w:val="center"/>
      </w:pPr>
      <w:r>
        <w:rPr>
          <w:noProof/>
        </w:rPr>
        <w:lastRenderedPageBreak/>
        <w:drawing>
          <wp:inline distT="0" distB="0" distL="0" distR="0" wp14:anchorId="598D56DA" wp14:editId="5CA976B2">
            <wp:extent cx="5935345" cy="2184400"/>
            <wp:effectExtent l="0" t="0" r="825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FC60" w14:textId="47D092ED" w:rsidR="008B4822" w:rsidRDefault="008B4822" w:rsidP="00527788">
      <w:pPr>
        <w:jc w:val="center"/>
        <w:rPr>
          <w:i/>
          <w:lang w:val="en-US"/>
        </w:rPr>
      </w:pPr>
      <w:bookmarkStart w:id="18" w:name="_Ref62226875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6</w:t>
      </w:r>
      <w:r>
        <w:fldChar w:fldCharType="end"/>
      </w:r>
      <w:bookmarkEnd w:id="18"/>
      <w:r>
        <w:t xml:space="preserve"> </w:t>
      </w:r>
      <w:r w:rsidR="00147FE2">
        <w:t>–</w:t>
      </w:r>
      <w:r w:rsidR="00147FE2">
        <w:rPr>
          <w:i/>
          <w:lang w:val="en-US"/>
        </w:rPr>
        <w:t xml:space="preserve"> The </w:t>
      </w:r>
      <w:r w:rsidR="00147FE2" w:rsidRPr="006A5023">
        <w:rPr>
          <w:i/>
          <w:lang w:val="en-US"/>
        </w:rPr>
        <w:t>MPAI-</w:t>
      </w:r>
      <w:r w:rsidR="00147FE2">
        <w:rPr>
          <w:i/>
          <w:lang w:val="en-US"/>
        </w:rPr>
        <w:t>CUI Use Case</w:t>
      </w:r>
    </w:p>
    <w:p w14:paraId="722C63F2" w14:textId="77777777" w:rsidR="008B4822" w:rsidRDefault="008B4822" w:rsidP="008B4822"/>
    <w:bookmarkEnd w:id="16"/>
    <w:p w14:paraId="0015A59E" w14:textId="03D2D408" w:rsidR="00BB7651" w:rsidRDefault="00BB7651" w:rsidP="00BB7651">
      <w:pPr>
        <w:pStyle w:val="Heading2"/>
      </w:pPr>
      <w:r>
        <w:t>MPAI-GSA</w:t>
      </w:r>
    </w:p>
    <w:p w14:paraId="7D399343" w14:textId="26D71A75" w:rsidR="00BB7651" w:rsidRDefault="00BB7651" w:rsidP="00BA41C6">
      <w:pPr>
        <w:jc w:val="both"/>
      </w:pPr>
      <w:r w:rsidRPr="002D5C5E">
        <w:rPr>
          <w:u w:val="single"/>
        </w:rPr>
        <w:t xml:space="preserve">Integrative </w:t>
      </w:r>
      <w:r w:rsidR="00BA1FCD">
        <w:rPr>
          <w:u w:val="single"/>
        </w:rPr>
        <w:t>G</w:t>
      </w:r>
      <w:r w:rsidRPr="002D5C5E">
        <w:rPr>
          <w:u w:val="single"/>
        </w:rPr>
        <w:t>enomic/</w:t>
      </w:r>
      <w:r w:rsidR="00BA1FCD">
        <w:rPr>
          <w:u w:val="single"/>
        </w:rPr>
        <w:t>S</w:t>
      </w:r>
      <w:r w:rsidRPr="002D5C5E">
        <w:rPr>
          <w:u w:val="single"/>
        </w:rPr>
        <w:t xml:space="preserve">ensor </w:t>
      </w:r>
      <w:r w:rsidR="00C05646">
        <w:rPr>
          <w:u w:val="single"/>
        </w:rPr>
        <w:t>A</w:t>
      </w:r>
      <w:r w:rsidR="00C05646" w:rsidRPr="002D5C5E">
        <w:rPr>
          <w:u w:val="single"/>
        </w:rPr>
        <w:t>nalysis</w:t>
      </w:r>
      <w:r w:rsidR="00F0439A">
        <w:t xml:space="preserve"> (</w:t>
      </w:r>
      <w:r w:rsidRPr="002D5C5E">
        <w:t>MPAI-GSA)</w:t>
      </w:r>
      <w:r w:rsidR="00BA41C6" w:rsidRPr="00BA41C6">
        <w:t xml:space="preserve"> uses AI to understand and compress the res</w:t>
      </w:r>
      <w:r w:rsidR="00F0439A">
        <w:softHyphen/>
      </w:r>
      <w:r w:rsidR="00BA41C6" w:rsidRPr="00BA41C6">
        <w:t>ult of high-throughput experiments combining genomic/proteomic and other data</w:t>
      </w:r>
      <w:r w:rsidR="00C971E5">
        <w:t>, e.g.</w:t>
      </w:r>
      <w:r w:rsidR="000F1C22">
        <w:t>,</w:t>
      </w:r>
      <w:r w:rsidR="00BA41C6" w:rsidRPr="00BA41C6">
        <w:t xml:space="preserve"> from video, motion, location, weather, medical sensors.</w:t>
      </w:r>
    </w:p>
    <w:p w14:paraId="6A45AD6D" w14:textId="22D60FE6" w:rsidR="00C971E5" w:rsidRDefault="00F74C9A" w:rsidP="00C971E5">
      <w:pPr>
        <w:jc w:val="both"/>
      </w:pPr>
      <w:r>
        <w:t>S</w:t>
      </w:r>
      <w:r w:rsidR="00C971E5">
        <w:t xml:space="preserve">o far, MPAI-GSA has been found applicable to </w:t>
      </w:r>
      <w:r w:rsidR="002F3EEE">
        <w:t>4 Use Areas (collections of compatible Use Cases):</w:t>
      </w:r>
    </w:p>
    <w:p w14:paraId="0395F2A9" w14:textId="77777777" w:rsidR="002F3EEE" w:rsidRDefault="002F3EEE" w:rsidP="001E7B37">
      <w:pPr>
        <w:pStyle w:val="ListParagraph"/>
        <w:numPr>
          <w:ilvl w:val="0"/>
          <w:numId w:val="7"/>
        </w:numPr>
        <w:jc w:val="both"/>
      </w:pPr>
      <w:r w:rsidRPr="006A5A80">
        <w:t>Integrative analysis of ‘omics datasets</w:t>
      </w:r>
    </w:p>
    <w:p w14:paraId="2A8AF31F" w14:textId="77777777" w:rsidR="002F3EEE" w:rsidRDefault="002F3EEE" w:rsidP="001E7B37">
      <w:pPr>
        <w:pStyle w:val="ListParagraph"/>
        <w:numPr>
          <w:ilvl w:val="0"/>
          <w:numId w:val="7"/>
        </w:numPr>
        <w:jc w:val="both"/>
      </w:pPr>
      <w:r w:rsidRPr="006A5A80">
        <w:t xml:space="preserve">Smart Farming </w:t>
      </w:r>
    </w:p>
    <w:p w14:paraId="2F9DA8CE" w14:textId="77777777" w:rsidR="002F3EEE" w:rsidRPr="00315761" w:rsidRDefault="002F3EEE" w:rsidP="001E7B37">
      <w:pPr>
        <w:pStyle w:val="ListParagraph"/>
        <w:numPr>
          <w:ilvl w:val="0"/>
          <w:numId w:val="7"/>
        </w:numPr>
        <w:jc w:val="both"/>
      </w:pPr>
      <w:r w:rsidRPr="006A5A80">
        <w:t>Genomics and phenotypic/spatial data</w:t>
      </w:r>
    </w:p>
    <w:p w14:paraId="4E61B7AF" w14:textId="77777777" w:rsidR="002F3EEE" w:rsidRPr="00315761" w:rsidRDefault="002F3EEE" w:rsidP="001E7B37">
      <w:pPr>
        <w:pStyle w:val="ListParagraph"/>
        <w:numPr>
          <w:ilvl w:val="0"/>
          <w:numId w:val="7"/>
        </w:numPr>
        <w:jc w:val="both"/>
      </w:pPr>
      <w:r w:rsidRPr="006A5A80">
        <w:t>Genomics and behaviour</w:t>
      </w:r>
    </w:p>
    <w:p w14:paraId="2F2E3C2E" w14:textId="77777777" w:rsidR="002410A7" w:rsidRDefault="002410A7" w:rsidP="002410A7">
      <w:pPr>
        <w:jc w:val="both"/>
      </w:pPr>
      <w:r>
        <w:t>MPAI documents supporting the MPAI-GSA project at the current stage are:</w:t>
      </w:r>
    </w:p>
    <w:p w14:paraId="18DB468D" w14:textId="2659107B" w:rsidR="002410A7" w:rsidRPr="002410A7" w:rsidRDefault="002410A7" w:rsidP="002410A7">
      <w:pPr>
        <w:pStyle w:val="ListParagraph"/>
        <w:numPr>
          <w:ilvl w:val="0"/>
          <w:numId w:val="9"/>
        </w:numPr>
      </w:pPr>
      <w:r>
        <w:t xml:space="preserve">Draft </w:t>
      </w:r>
      <w:r w:rsidRPr="00C0706C">
        <w:t>MPAI-</w:t>
      </w:r>
      <w:r>
        <w:t>GSA</w:t>
      </w:r>
      <w:r w:rsidRPr="00C0706C">
        <w:t xml:space="preserve"> Use Cases and Functional Requirement</w:t>
      </w:r>
      <w:r>
        <w:t xml:space="preserve">, </w:t>
      </w:r>
      <w:r w:rsidRPr="00C0706C">
        <w:t>N</w:t>
      </w:r>
      <w:r>
        <w:t>194 [</w:t>
      </w:r>
      <w:r>
        <w:fldChar w:fldCharType="begin"/>
      </w:r>
      <w:r>
        <w:instrText xml:space="preserve"> REF _Ref66617321 \r \h </w:instrText>
      </w:r>
      <w:r>
        <w:fldChar w:fldCharType="separate"/>
      </w:r>
      <w:r>
        <w:t>13</w:t>
      </w:r>
      <w:r>
        <w:fldChar w:fldCharType="end"/>
      </w:r>
      <w:r>
        <w:t>].</w:t>
      </w:r>
    </w:p>
    <w:p w14:paraId="29DDB45F" w14:textId="5A15FEC2" w:rsidR="00C971E5" w:rsidRDefault="00C971E5" w:rsidP="00C971E5">
      <w:pPr>
        <w:jc w:val="both"/>
      </w:pPr>
      <w:r>
        <w:rPr>
          <w:color w:val="000000" w:themeColor="text1"/>
        </w:rPr>
        <w:fldChar w:fldCharType="begin"/>
      </w:r>
      <w:r>
        <w:instrText xml:space="preserve"> REF _Ref7073800 \h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7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addresses</w:t>
      </w:r>
      <w:r w:rsidR="005F7CA2">
        <w:rPr>
          <w:color w:val="000000" w:themeColor="text1"/>
        </w:rPr>
        <w:t xml:space="preserve"> the</w:t>
      </w:r>
      <w:r w:rsidR="001E1316">
        <w:rPr>
          <w:color w:val="000000" w:themeColor="text1"/>
        </w:rPr>
        <w:t xml:space="preserve"> </w:t>
      </w:r>
      <w:r w:rsidR="005F7CA2">
        <w:rPr>
          <w:color w:val="000000" w:themeColor="text1"/>
        </w:rPr>
        <w:t>Smart Farming</w:t>
      </w:r>
      <w:r w:rsidR="00AD503D">
        <w:rPr>
          <w:color w:val="000000" w:themeColor="text1"/>
        </w:rPr>
        <w:t xml:space="preserve"> Use Case</w:t>
      </w:r>
      <w:r w:rsidR="005F7CA2">
        <w:rPr>
          <w:color w:val="000000" w:themeColor="text1"/>
        </w:rPr>
        <w:t>.</w:t>
      </w:r>
    </w:p>
    <w:p w14:paraId="08F8407C" w14:textId="3655BFE8" w:rsidR="00D86D01" w:rsidRDefault="00D86D01" w:rsidP="00BB7651"/>
    <w:p w14:paraId="12B00804" w14:textId="79201F81" w:rsidR="005F7CA2" w:rsidRDefault="001E1316" w:rsidP="005F7CA2">
      <w:pPr>
        <w:jc w:val="center"/>
      </w:pPr>
      <w:r>
        <w:rPr>
          <w:noProof/>
        </w:rPr>
        <w:drawing>
          <wp:inline distT="0" distB="0" distL="0" distR="0" wp14:anchorId="07BAB48F" wp14:editId="4A214350">
            <wp:extent cx="5934710" cy="3444875"/>
            <wp:effectExtent l="0" t="0" r="889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9326" w14:textId="3ACBB2AD" w:rsidR="00D86D01" w:rsidRDefault="00D86D01" w:rsidP="00D86D01">
      <w:pPr>
        <w:jc w:val="center"/>
        <w:rPr>
          <w:i/>
          <w:lang w:val="en-US"/>
        </w:rPr>
      </w:pPr>
      <w:bookmarkStart w:id="19" w:name="_Ref7073800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7</w:t>
      </w:r>
      <w:r>
        <w:fldChar w:fldCharType="end"/>
      </w:r>
      <w:bookmarkEnd w:id="19"/>
      <w:r>
        <w:t xml:space="preserve"> –</w:t>
      </w:r>
      <w:r>
        <w:rPr>
          <w:i/>
          <w:lang w:val="en-US"/>
        </w:rPr>
        <w:t xml:space="preserve"> </w:t>
      </w:r>
      <w:r w:rsidR="00F0439A">
        <w:rPr>
          <w:i/>
          <w:lang w:val="en-US"/>
        </w:rPr>
        <w:t xml:space="preserve">An </w:t>
      </w:r>
      <w:r w:rsidR="00F0439A" w:rsidRPr="006A5023">
        <w:rPr>
          <w:i/>
          <w:lang w:val="en-US"/>
        </w:rPr>
        <w:t>MPAI-</w:t>
      </w:r>
      <w:r w:rsidR="00F0439A">
        <w:rPr>
          <w:i/>
          <w:lang w:val="en-US"/>
        </w:rPr>
        <w:t>GSA</w:t>
      </w:r>
      <w:r w:rsidR="001E1316">
        <w:rPr>
          <w:i/>
          <w:lang w:val="en-US"/>
        </w:rPr>
        <w:t xml:space="preserve"> Use Case</w:t>
      </w:r>
      <w:r w:rsidR="00F0439A">
        <w:rPr>
          <w:i/>
          <w:lang w:val="en-US"/>
        </w:rPr>
        <w:t xml:space="preserve">: </w:t>
      </w:r>
      <w:r w:rsidR="001E1316">
        <w:rPr>
          <w:i/>
          <w:lang w:val="en-US"/>
        </w:rPr>
        <w:t>Smart Framing</w:t>
      </w:r>
    </w:p>
    <w:p w14:paraId="26869173" w14:textId="7F42DE7B" w:rsidR="00712AB2" w:rsidRDefault="00712AB2" w:rsidP="00712AB2">
      <w:pPr>
        <w:pStyle w:val="Heading2"/>
      </w:pPr>
      <w:r>
        <w:lastRenderedPageBreak/>
        <w:t>MPAI-EV</w:t>
      </w:r>
      <w:r>
        <w:rPr>
          <w:lang w:val="en-GB"/>
        </w:rPr>
        <w:t>C</w:t>
      </w:r>
    </w:p>
    <w:p w14:paraId="24665EA6" w14:textId="7F0B3EE4" w:rsidR="00C534E8" w:rsidRPr="0055221B" w:rsidRDefault="00712AB2" w:rsidP="00C534E8">
      <w:pPr>
        <w:jc w:val="both"/>
        <w:rPr>
          <w:lang w:val="en-CA"/>
        </w:rPr>
      </w:pPr>
      <w:r w:rsidRPr="00746DE7">
        <w:rPr>
          <w:u w:val="single"/>
        </w:rPr>
        <w:t>AI-Enhanced Video Coding</w:t>
      </w:r>
      <w:r>
        <w:t xml:space="preserve"> (MPAI-E</w:t>
      </w:r>
      <w:r w:rsidR="00FA247C">
        <w:t>VC</w:t>
      </w:r>
      <w:r>
        <w:t>) is a video compression stan</w:t>
      </w:r>
      <w:r>
        <w:softHyphen/>
        <w:t>dard that substantially en</w:t>
      </w:r>
      <w:r w:rsidR="00FA247C">
        <w:softHyphen/>
      </w:r>
      <w:r>
        <w:t>hances the performance of a</w:t>
      </w:r>
      <w:r w:rsidR="00FA247C">
        <w:t xml:space="preserve"> traditional</w:t>
      </w:r>
      <w:r>
        <w:t xml:space="preserve"> video codec by </w:t>
      </w:r>
      <w:r w:rsidR="00151142">
        <w:t>improving</w:t>
      </w:r>
      <w:r>
        <w:t xml:space="preserve"> or replacing traditional tools with AI-based tools. Two </w:t>
      </w:r>
      <w:r w:rsidR="0055221B">
        <w:t>approaches</w:t>
      </w:r>
      <w:r>
        <w:t xml:space="preserve"> </w:t>
      </w:r>
      <w:r w:rsidR="0055221B">
        <w:t xml:space="preserve">– Horizontal Hybrid and Vertical Hybrid – </w:t>
      </w:r>
      <w:r>
        <w:t>are envisaged</w:t>
      </w:r>
      <w:r w:rsidR="0055221B">
        <w:t xml:space="preserve">. </w:t>
      </w:r>
      <w:r w:rsidR="00C534E8" w:rsidRPr="0055221B">
        <w:rPr>
          <w:bCs/>
          <w:lang w:val="en-CA"/>
        </w:rPr>
        <w:t xml:space="preserve">The </w:t>
      </w:r>
      <w:r w:rsidR="00C534E8" w:rsidRPr="0055221B">
        <w:rPr>
          <w:b/>
          <w:lang w:val="en-CA"/>
        </w:rPr>
        <w:t>Horizontal Hybrid</w:t>
      </w:r>
      <w:r w:rsidR="00C534E8" w:rsidRPr="0055221B">
        <w:rPr>
          <w:lang w:val="en-CA"/>
        </w:rPr>
        <w:t xml:space="preserve"> approach introduces AI based algorithms combined with trad</w:t>
      </w:r>
      <w:r w:rsidR="00C534E8" w:rsidRPr="0055221B">
        <w:rPr>
          <w:lang w:val="en-CA"/>
        </w:rPr>
        <w:softHyphen/>
        <w:t>itional image</w:t>
      </w:r>
      <w:r w:rsidR="00C534E8">
        <w:rPr>
          <w:lang w:val="en-CA"/>
        </w:rPr>
        <w:t>/</w:t>
      </w:r>
      <w:r w:rsidR="00C534E8" w:rsidRPr="0055221B">
        <w:rPr>
          <w:lang w:val="en-CA"/>
        </w:rPr>
        <w:t>video codec, trying to replace one block of the traditional schema with a machine learn</w:t>
      </w:r>
      <w:r w:rsidR="00C534E8">
        <w:rPr>
          <w:lang w:val="en-CA"/>
        </w:rPr>
        <w:softHyphen/>
      </w:r>
      <w:r w:rsidR="00C534E8" w:rsidRPr="0055221B">
        <w:rPr>
          <w:lang w:val="en-CA"/>
        </w:rPr>
        <w:t>ing-based one</w:t>
      </w:r>
      <w:r w:rsidR="00C534E8">
        <w:rPr>
          <w:lang w:val="en-CA"/>
        </w:rPr>
        <w:t xml:space="preserve">. </w:t>
      </w:r>
      <w:r w:rsidR="00C534E8">
        <w:t xml:space="preserve">This case can be </w:t>
      </w:r>
      <w:bookmarkStart w:id="20" w:name="_Hlk55036364"/>
      <w:r w:rsidR="00C534E8">
        <w:t xml:space="preserve">described by </w:t>
      </w:r>
      <w:r w:rsidR="00C534E8">
        <w:fldChar w:fldCharType="begin"/>
      </w:r>
      <w:r w:rsidR="00C534E8">
        <w:instrText xml:space="preserve"> REF _Ref53307138 \h </w:instrText>
      </w:r>
      <w:r w:rsidR="00C534E8"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8</w:t>
      </w:r>
      <w:r w:rsidR="00C534E8">
        <w:fldChar w:fldCharType="end"/>
      </w:r>
      <w:r w:rsidR="00C534E8">
        <w:t xml:space="preserve"> where green circles represent tools that can be replaced or enhanced with their AI-based equivalent</w:t>
      </w:r>
      <w:bookmarkEnd w:id="20"/>
      <w:r w:rsidR="00C534E8">
        <w:t>.</w:t>
      </w:r>
    </w:p>
    <w:p w14:paraId="0649C985" w14:textId="77777777" w:rsidR="00C534E8" w:rsidRDefault="00C534E8" w:rsidP="00C534E8">
      <w:pPr>
        <w:jc w:val="center"/>
        <w:rPr>
          <w:i/>
          <w:lang w:val="en-US"/>
        </w:rPr>
      </w:pPr>
      <w:r>
        <w:rPr>
          <w:i/>
          <w:noProof/>
          <w:lang w:val="en-US"/>
        </w:rPr>
        <w:drawing>
          <wp:inline distT="0" distB="0" distL="0" distR="0" wp14:anchorId="4333E716" wp14:editId="39351E78">
            <wp:extent cx="5939155" cy="3444875"/>
            <wp:effectExtent l="0" t="0" r="4445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A42B" w14:textId="08102DBC" w:rsidR="00C534E8" w:rsidRDefault="00C534E8" w:rsidP="00C534E8">
      <w:pPr>
        <w:jc w:val="center"/>
      </w:pPr>
      <w:bookmarkStart w:id="21" w:name="_Ref53307138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8</w:t>
      </w:r>
      <w:r>
        <w:fldChar w:fldCharType="end"/>
      </w:r>
      <w:bookmarkEnd w:id="21"/>
      <w:r>
        <w:t xml:space="preserve"> –</w:t>
      </w:r>
      <w:r>
        <w:rPr>
          <w:i/>
          <w:lang w:val="en-US"/>
        </w:rPr>
        <w:t xml:space="preserve"> A reference diagram for the </w:t>
      </w:r>
      <w:r w:rsidRPr="006A5023">
        <w:rPr>
          <w:i/>
          <w:lang w:val="en-US"/>
        </w:rPr>
        <w:t>Horizontal Hybrid approach</w:t>
      </w:r>
    </w:p>
    <w:p w14:paraId="7AF810E0" w14:textId="77777777" w:rsidR="00C534E8" w:rsidRDefault="00C534E8" w:rsidP="000F1C22">
      <w:pPr>
        <w:rPr>
          <w:bCs/>
          <w:lang w:val="en-CA"/>
        </w:rPr>
      </w:pPr>
    </w:p>
    <w:p w14:paraId="1F62EDC0" w14:textId="1DC9D1B7" w:rsidR="000F1C22" w:rsidRDefault="000F1C22" w:rsidP="000F1C22">
      <w:r w:rsidRPr="0055221B">
        <w:rPr>
          <w:bCs/>
          <w:lang w:val="en-CA"/>
        </w:rPr>
        <w:t xml:space="preserve">The </w:t>
      </w:r>
      <w:r w:rsidRPr="0055221B">
        <w:rPr>
          <w:b/>
          <w:lang w:val="en-CA"/>
        </w:rPr>
        <w:t>Vertical Hybrid</w:t>
      </w:r>
      <w:r w:rsidRPr="0055221B">
        <w:rPr>
          <w:lang w:val="en-CA"/>
        </w:rPr>
        <w:t xml:space="preserve"> </w:t>
      </w:r>
      <w:r>
        <w:rPr>
          <w:lang w:val="en-CA"/>
        </w:rPr>
        <w:t xml:space="preserve">approach envigaes </w:t>
      </w:r>
      <w:r w:rsidRPr="0055221B">
        <w:rPr>
          <w:lang w:val="en-CA"/>
        </w:rPr>
        <w:t xml:space="preserve">an AVC/HEVC/EVC/VVC base layer plus an enhanced machine learning-based layer. </w:t>
      </w:r>
      <w:r>
        <w:t xml:space="preserve">This case can be represented by </w:t>
      </w:r>
      <w:r>
        <w:fldChar w:fldCharType="begin"/>
      </w:r>
      <w:r>
        <w:instrText xml:space="preserve"> REF _Ref53307088 \h </w:instrText>
      </w:r>
      <w:r>
        <w:fldChar w:fldCharType="separate"/>
      </w:r>
      <w:r w:rsidR="002A25B6">
        <w:rPr>
          <w:i/>
          <w:lang w:val="en-US"/>
        </w:rPr>
        <w:t xml:space="preserve">Figure </w:t>
      </w:r>
      <w:r w:rsidR="002A25B6">
        <w:rPr>
          <w:i/>
          <w:noProof/>
          <w:lang w:val="en-US"/>
        </w:rPr>
        <w:t>9</w:t>
      </w:r>
      <w:r>
        <w:fldChar w:fldCharType="end"/>
      </w:r>
      <w:r>
        <w:t>.</w:t>
      </w:r>
    </w:p>
    <w:p w14:paraId="3147A4E2" w14:textId="77777777" w:rsidR="000F1C22" w:rsidRDefault="000F1C22" w:rsidP="000F1C22"/>
    <w:p w14:paraId="248D4C8B" w14:textId="246E0217" w:rsidR="000F1C22" w:rsidRDefault="000E347D" w:rsidP="000F1C22">
      <w:pPr>
        <w:jc w:val="center"/>
      </w:pPr>
      <w:r>
        <w:rPr>
          <w:noProof/>
        </w:rPr>
        <w:drawing>
          <wp:inline distT="0" distB="0" distL="0" distR="0" wp14:anchorId="2B52F1E4" wp14:editId="246C182D">
            <wp:extent cx="5940425" cy="1810385"/>
            <wp:effectExtent l="0" t="0" r="317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E2D30" w14:textId="388186A6" w:rsidR="000F1C22" w:rsidRDefault="000F1C22" w:rsidP="000F1C22">
      <w:pPr>
        <w:jc w:val="center"/>
        <w:rPr>
          <w:i/>
          <w:lang w:val="en-US"/>
        </w:rPr>
      </w:pPr>
      <w:bookmarkStart w:id="22" w:name="_Ref53307088"/>
      <w:r>
        <w:rPr>
          <w:i/>
          <w:lang w:val="en-US"/>
        </w:rPr>
        <w:t xml:space="preserve">Figure </w:t>
      </w:r>
      <w:r>
        <w:fldChar w:fldCharType="begin"/>
      </w:r>
      <w:r>
        <w:rPr>
          <w:i/>
          <w:lang w:val="en-US"/>
        </w:rPr>
        <w:instrText xml:space="preserve"> SEQ Figure \* ARABIC </w:instrText>
      </w:r>
      <w:r>
        <w:fldChar w:fldCharType="separate"/>
      </w:r>
      <w:r w:rsidR="002A25B6">
        <w:rPr>
          <w:i/>
          <w:noProof/>
          <w:lang w:val="en-US"/>
        </w:rPr>
        <w:t>9</w:t>
      </w:r>
      <w:r>
        <w:fldChar w:fldCharType="end"/>
      </w:r>
      <w:bookmarkEnd w:id="22"/>
      <w:r>
        <w:t xml:space="preserve"> –</w:t>
      </w:r>
      <w:r>
        <w:rPr>
          <w:i/>
          <w:lang w:val="en-US"/>
        </w:rPr>
        <w:t xml:space="preserve"> A reference diagram for the Vertical</w:t>
      </w:r>
      <w:r w:rsidRPr="006A5023">
        <w:rPr>
          <w:i/>
          <w:lang w:val="en-US"/>
        </w:rPr>
        <w:t xml:space="preserve"> Hybrid approach</w:t>
      </w:r>
    </w:p>
    <w:p w14:paraId="034553A9" w14:textId="77777777" w:rsidR="00EB081E" w:rsidRDefault="00EB081E" w:rsidP="0055221B">
      <w:pPr>
        <w:jc w:val="both"/>
      </w:pPr>
    </w:p>
    <w:p w14:paraId="5F9D052D" w14:textId="5470B7BB" w:rsidR="00127C9F" w:rsidRDefault="0055221B" w:rsidP="0055221B">
      <w:pPr>
        <w:jc w:val="both"/>
      </w:pPr>
      <w:r>
        <w:t xml:space="preserve">MPAI is engaged in </w:t>
      </w:r>
      <w:r w:rsidR="0076691D">
        <w:t xml:space="preserve">the </w:t>
      </w:r>
      <w:r>
        <w:t xml:space="preserve">MPAI-EVC </w:t>
      </w:r>
      <w:r w:rsidR="0076691D">
        <w:t xml:space="preserve">Evidence Project seeking to find evidence that AI-based technologies provide sufficient improvement to the </w:t>
      </w:r>
      <w:r w:rsidR="0076691D" w:rsidRPr="0076691D">
        <w:t>Horizontal Hybrid approach</w:t>
      </w:r>
      <w:r w:rsidR="0076691D">
        <w:t xml:space="preserve">. A second project on </w:t>
      </w:r>
      <w:r w:rsidR="0076691D" w:rsidRPr="0076691D">
        <w:t>the Vertical Hybrid approach</w:t>
      </w:r>
      <w:r w:rsidR="0076691D">
        <w:t xml:space="preserve"> is being considered.</w:t>
      </w:r>
    </w:p>
    <w:p w14:paraId="0261B153" w14:textId="48F7C05D" w:rsidR="00890469" w:rsidRDefault="0076691D" w:rsidP="0076691D">
      <w:r>
        <w:t>Approved MPAI document</w:t>
      </w:r>
      <w:r w:rsidR="00D32B9C">
        <w:t>s</w:t>
      </w:r>
      <w:r>
        <w:t xml:space="preserve"> supporting the MPAI-</w:t>
      </w:r>
      <w:r w:rsidR="00145A6B">
        <w:t>EVC</w:t>
      </w:r>
      <w:r>
        <w:t xml:space="preserve"> work area are</w:t>
      </w:r>
      <w:r w:rsidR="00890469">
        <w:t>:</w:t>
      </w:r>
    </w:p>
    <w:p w14:paraId="38357042" w14:textId="41CD05E5" w:rsidR="00890469" w:rsidRDefault="00890469" w:rsidP="001E7B37">
      <w:pPr>
        <w:pStyle w:val="ListParagraph"/>
        <w:numPr>
          <w:ilvl w:val="0"/>
          <w:numId w:val="6"/>
        </w:numPr>
      </w:pPr>
      <w:r w:rsidRPr="0076691D">
        <w:t>MPAI Application Note #3 R1 - MPAI-EVC</w:t>
      </w:r>
      <w:r>
        <w:t xml:space="preserve">, </w:t>
      </w:r>
      <w:r w:rsidRPr="0076691D">
        <w:t>N61</w:t>
      </w:r>
      <w:r>
        <w:t xml:space="preserve"> [</w:t>
      </w:r>
      <w:r>
        <w:fldChar w:fldCharType="begin"/>
      </w:r>
      <w:r>
        <w:instrText xml:space="preserve"> REF _Ref62226569 \r \h </w:instrText>
      </w:r>
      <w:r>
        <w:fldChar w:fldCharType="separate"/>
      </w:r>
      <w:r w:rsidR="002A25B6">
        <w:t>15</w:t>
      </w:r>
      <w:r>
        <w:fldChar w:fldCharType="end"/>
      </w:r>
      <w:r>
        <w:t>]</w:t>
      </w:r>
    </w:p>
    <w:p w14:paraId="58C499E5" w14:textId="62ECAFB0" w:rsidR="00683505" w:rsidRDefault="00890469" w:rsidP="00683505">
      <w:pPr>
        <w:pStyle w:val="ListParagraph"/>
        <w:numPr>
          <w:ilvl w:val="0"/>
          <w:numId w:val="6"/>
        </w:numPr>
      </w:pPr>
      <w:r w:rsidRPr="0076691D">
        <w:lastRenderedPageBreak/>
        <w:t>MPAI-EVC Use Cases and Requirements</w:t>
      </w:r>
      <w:r>
        <w:t>, N92 [</w:t>
      </w:r>
      <w:r w:rsidR="00683505">
        <w:fldChar w:fldCharType="begin"/>
      </w:r>
      <w:r w:rsidR="00683505">
        <w:instrText xml:space="preserve"> REF _Ref64224120 \r \h </w:instrText>
      </w:r>
      <w:r w:rsidR="00683505">
        <w:fldChar w:fldCharType="separate"/>
      </w:r>
      <w:r w:rsidR="002A25B6">
        <w:t>16</w:t>
      </w:r>
      <w:r w:rsidR="00683505">
        <w:fldChar w:fldCharType="end"/>
      </w:r>
      <w:r>
        <w:t>]</w:t>
      </w:r>
    </w:p>
    <w:p w14:paraId="74FA00EF" w14:textId="2A073C9C" w:rsidR="00890469" w:rsidRDefault="00890469" w:rsidP="001E7B37">
      <w:pPr>
        <w:pStyle w:val="ListParagraph"/>
        <w:numPr>
          <w:ilvl w:val="0"/>
          <w:numId w:val="6"/>
        </w:numPr>
      </w:pPr>
      <w:r w:rsidRPr="0076691D">
        <w:t>Collaborative Evidence Conditions for MPAI-EVC Evidence Project R</w:t>
      </w:r>
      <w:r>
        <w:t>ev.</w:t>
      </w:r>
      <w:r w:rsidRPr="0076691D">
        <w:t>1</w:t>
      </w:r>
      <w:r>
        <w:t>, N69 [</w:t>
      </w:r>
      <w:r w:rsidR="00683505">
        <w:fldChar w:fldCharType="begin"/>
      </w:r>
      <w:r w:rsidR="00683505">
        <w:instrText xml:space="preserve"> REF _Ref64224092 \r \h </w:instrText>
      </w:r>
      <w:r w:rsidR="00683505">
        <w:fldChar w:fldCharType="separate"/>
      </w:r>
      <w:r w:rsidR="002A25B6">
        <w:t>17</w:t>
      </w:r>
      <w:r w:rsidR="00683505">
        <w:fldChar w:fldCharType="end"/>
      </w:r>
      <w:r>
        <w:t>]</w:t>
      </w:r>
    </w:p>
    <w:p w14:paraId="4FBBCF9B" w14:textId="186A6A40" w:rsidR="00890469" w:rsidRDefault="00890469" w:rsidP="001E7B37">
      <w:pPr>
        <w:pStyle w:val="ListParagraph"/>
        <w:numPr>
          <w:ilvl w:val="0"/>
          <w:numId w:val="6"/>
        </w:numPr>
      </w:pPr>
      <w:r w:rsidRPr="0076691D">
        <w:t>Operational Guidelines for MPAI-EVC Evidence Project</w:t>
      </w:r>
      <w:r>
        <w:t>, N70 [</w:t>
      </w:r>
      <w:r w:rsidR="00683505">
        <w:fldChar w:fldCharType="begin"/>
      </w:r>
      <w:r w:rsidR="00683505">
        <w:instrText xml:space="preserve"> REF _Ref64224077 \r \h </w:instrText>
      </w:r>
      <w:r w:rsidR="00683505">
        <w:fldChar w:fldCharType="separate"/>
      </w:r>
      <w:r w:rsidR="002A25B6">
        <w:t>18</w:t>
      </w:r>
      <w:r w:rsidR="00683505">
        <w:fldChar w:fldCharType="end"/>
      </w:r>
      <w:r>
        <w:t>]</w:t>
      </w:r>
    </w:p>
    <w:p w14:paraId="59976BCA" w14:textId="11E1DAB2" w:rsidR="007A4ED5" w:rsidRDefault="007A4ED5" w:rsidP="001E7B37">
      <w:pPr>
        <w:pStyle w:val="ListParagraph"/>
        <w:numPr>
          <w:ilvl w:val="0"/>
          <w:numId w:val="6"/>
        </w:numPr>
      </w:pPr>
      <w:r w:rsidRPr="007A4ED5">
        <w:t>Status report of MPAI-EVC Evidence Project</w:t>
      </w:r>
      <w:r>
        <w:t xml:space="preserve">, </w:t>
      </w:r>
      <w:r w:rsidRPr="007A4ED5">
        <w:t>N</w:t>
      </w:r>
      <w:r w:rsidR="00D85A44">
        <w:t>271</w:t>
      </w:r>
      <w:r>
        <w:t xml:space="preserve"> [</w:t>
      </w:r>
      <w:r>
        <w:fldChar w:fldCharType="begin"/>
      </w:r>
      <w:r>
        <w:instrText xml:space="preserve"> REF _Ref71385286 \r \h </w:instrText>
      </w:r>
      <w:r>
        <w:fldChar w:fldCharType="separate"/>
      </w:r>
      <w:r w:rsidR="002A25B6">
        <w:t>19</w:t>
      </w:r>
      <w:r>
        <w:fldChar w:fldCharType="end"/>
      </w:r>
      <w:r>
        <w:t>].</w:t>
      </w:r>
    </w:p>
    <w:p w14:paraId="551D01E0" w14:textId="77777777" w:rsidR="009500D4" w:rsidRDefault="009500D4" w:rsidP="009500D4"/>
    <w:p w14:paraId="0FD9FBE2" w14:textId="77777777" w:rsidR="00D85A44" w:rsidRDefault="00D85A44" w:rsidP="00D85A44">
      <w:pPr>
        <w:pStyle w:val="Heading2"/>
        <w:jc w:val="both"/>
        <w:rPr>
          <w:lang w:val="en-GB"/>
        </w:rPr>
      </w:pPr>
      <w:r>
        <w:rPr>
          <w:lang w:val="en-GB"/>
        </w:rPr>
        <w:t>MPAI-CAV</w:t>
      </w:r>
    </w:p>
    <w:p w14:paraId="38A0CE84" w14:textId="15E88811" w:rsidR="00D85A44" w:rsidRDefault="00D85A44" w:rsidP="00D85A44">
      <w:pPr>
        <w:jc w:val="both"/>
      </w:pPr>
      <w:r w:rsidRPr="00EB081E">
        <w:rPr>
          <w:u w:val="single"/>
        </w:rPr>
        <w:t>Connected Autonomous Vehicles</w:t>
      </w:r>
      <w:r>
        <w:t xml:space="preserve"> (CAV) is a Use Case addressing the Connected Autonomous Vehicle (CAV) domain and the </w:t>
      </w:r>
      <w:r w:rsidR="002A25B6">
        <w:t>5</w:t>
      </w:r>
      <w:r>
        <w:t xml:space="preserve"> main operating instances of a CAV:</w:t>
      </w:r>
    </w:p>
    <w:p w14:paraId="52A1C893" w14:textId="77777777" w:rsidR="005C6B42" w:rsidRPr="00CC4DB1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bookmarkStart w:id="23" w:name="_Hlk72335575"/>
      <w:r w:rsidRPr="00CC4DB1">
        <w:rPr>
          <w:i/>
          <w:iCs/>
          <w:sz w:val="24"/>
          <w:szCs w:val="24"/>
        </w:rPr>
        <w:t>Human-CAV interaction</w:t>
      </w:r>
      <w:bookmarkEnd w:id="23"/>
      <w:r>
        <w:rPr>
          <w:i/>
          <w:iCs/>
          <w:sz w:val="24"/>
          <w:szCs w:val="24"/>
        </w:rPr>
        <w:t xml:space="preserve"> (HCI)</w:t>
      </w:r>
      <w:r w:rsidRPr="00CC4DB1">
        <w:rPr>
          <w:sz w:val="24"/>
          <w:szCs w:val="24"/>
        </w:rPr>
        <w:t>, i.e., the CAV subsystem that responds to humans’ com</w:t>
      </w:r>
      <w:r>
        <w:rPr>
          <w:sz w:val="24"/>
          <w:szCs w:val="24"/>
        </w:rPr>
        <w:softHyphen/>
      </w:r>
      <w:r w:rsidRPr="00CC4DB1">
        <w:rPr>
          <w:sz w:val="24"/>
          <w:szCs w:val="24"/>
        </w:rPr>
        <w:t>mands and queries, senses human activities in the CAV passenger compartment and activates other subsystems as required by humans or as deemed necessary by the identified conditions</w:t>
      </w:r>
      <w:r>
        <w:rPr>
          <w:sz w:val="24"/>
          <w:szCs w:val="24"/>
        </w:rPr>
        <w:t>.</w:t>
      </w:r>
    </w:p>
    <w:p w14:paraId="2398917C" w14:textId="77777777" w:rsidR="005C6B42" w:rsidRPr="00C41707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bookmarkStart w:id="24" w:name="_Hlk73950458"/>
      <w:r w:rsidRPr="005B0D14">
        <w:rPr>
          <w:i/>
          <w:iCs/>
          <w:sz w:val="24"/>
          <w:szCs w:val="24"/>
        </w:rPr>
        <w:t>CAV</w:t>
      </w:r>
      <w:r>
        <w:rPr>
          <w:i/>
          <w:iCs/>
          <w:sz w:val="24"/>
          <w:szCs w:val="24"/>
        </w:rPr>
        <w:t>-</w:t>
      </w:r>
      <w:r w:rsidRPr="005B0D14">
        <w:rPr>
          <w:i/>
          <w:iCs/>
          <w:sz w:val="24"/>
          <w:szCs w:val="24"/>
        </w:rPr>
        <w:t>Environment</w:t>
      </w:r>
      <w:r>
        <w:rPr>
          <w:i/>
          <w:iCs/>
          <w:sz w:val="24"/>
          <w:szCs w:val="24"/>
        </w:rPr>
        <w:t xml:space="preserve"> interaction</w:t>
      </w:r>
      <w:r>
        <w:rPr>
          <w:sz w:val="24"/>
          <w:szCs w:val="24"/>
        </w:rPr>
        <w:t>, i.e., the subsystem that acquires information from the physical environment via a variety of sensors.</w:t>
      </w:r>
    </w:p>
    <w:p w14:paraId="2F1212F9" w14:textId="77777777" w:rsidR="005C6B42" w:rsidRPr="00CC4DB1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C4DB1">
        <w:rPr>
          <w:i/>
          <w:iCs/>
          <w:sz w:val="24"/>
          <w:szCs w:val="24"/>
        </w:rPr>
        <w:t>Autonomous Motion</w:t>
      </w:r>
      <w:r>
        <w:rPr>
          <w:i/>
          <w:iCs/>
          <w:sz w:val="24"/>
          <w:szCs w:val="24"/>
        </w:rPr>
        <w:t xml:space="preserve"> Subsystem (AMS)</w:t>
      </w:r>
      <w:r w:rsidRPr="00CC4DB1">
        <w:rPr>
          <w:sz w:val="24"/>
          <w:szCs w:val="24"/>
        </w:rPr>
        <w:t xml:space="preserve">, i.e., the CAV subsystem that </w:t>
      </w:r>
      <w:r>
        <w:rPr>
          <w:sz w:val="24"/>
          <w:szCs w:val="24"/>
        </w:rPr>
        <w:t>uses different sources of information to instructs</w:t>
      </w:r>
      <w:r w:rsidRPr="00CC4DB1">
        <w:rPr>
          <w:sz w:val="24"/>
          <w:szCs w:val="24"/>
        </w:rPr>
        <w:t xml:space="preserve"> the CAV to </w:t>
      </w:r>
      <w:r>
        <w:rPr>
          <w:sz w:val="24"/>
          <w:szCs w:val="24"/>
        </w:rPr>
        <w:t xml:space="preserve">reach </w:t>
      </w:r>
      <w:r w:rsidRPr="00CC4DB1">
        <w:rPr>
          <w:sz w:val="24"/>
          <w:szCs w:val="24"/>
        </w:rPr>
        <w:t>the intended destination.</w:t>
      </w:r>
    </w:p>
    <w:p w14:paraId="636E9486" w14:textId="77777777" w:rsidR="005C6B42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C4DB1">
        <w:rPr>
          <w:i/>
          <w:iCs/>
          <w:sz w:val="24"/>
          <w:szCs w:val="24"/>
        </w:rPr>
        <w:t>CAV-</w:t>
      </w:r>
      <w:r>
        <w:rPr>
          <w:i/>
          <w:iCs/>
          <w:sz w:val="24"/>
          <w:szCs w:val="24"/>
        </w:rPr>
        <w:t>Device</w:t>
      </w:r>
      <w:r w:rsidRPr="00CC4DB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</w:t>
      </w:r>
      <w:r w:rsidRPr="00CC4DB1">
        <w:rPr>
          <w:i/>
          <w:iCs/>
          <w:sz w:val="24"/>
          <w:szCs w:val="24"/>
        </w:rPr>
        <w:t>nteraction</w:t>
      </w:r>
      <w:r>
        <w:rPr>
          <w:i/>
          <w:iCs/>
          <w:sz w:val="24"/>
          <w:szCs w:val="24"/>
        </w:rPr>
        <w:t xml:space="preserve"> (CDI)</w:t>
      </w:r>
      <w:r w:rsidRPr="00CC4DB1">
        <w:rPr>
          <w:sz w:val="24"/>
          <w:szCs w:val="24"/>
        </w:rPr>
        <w:t>, i.e., the subsystem that communicates with sources of external information, including other CAVs, Roadside Units (RSU)</w:t>
      </w:r>
      <w:r>
        <w:rPr>
          <w:sz w:val="24"/>
          <w:szCs w:val="24"/>
        </w:rPr>
        <w:t>, other vehicles</w:t>
      </w:r>
      <w:r w:rsidRPr="00CC4DB1">
        <w:rPr>
          <w:sz w:val="24"/>
          <w:szCs w:val="24"/>
        </w:rPr>
        <w:t xml:space="preserve"> etc.</w:t>
      </w:r>
    </w:p>
    <w:bookmarkEnd w:id="24"/>
    <w:p w14:paraId="2444D01E" w14:textId="78B76483" w:rsidR="005C6B42" w:rsidRDefault="005C6B42" w:rsidP="005C6B42">
      <w:pPr>
        <w:pStyle w:val="CommentText"/>
        <w:numPr>
          <w:ilvl w:val="0"/>
          <w:numId w:val="15"/>
        </w:numPr>
        <w:jc w:val="both"/>
        <w:rPr>
          <w:sz w:val="24"/>
          <w:szCs w:val="24"/>
        </w:rPr>
      </w:pPr>
      <w:r w:rsidRPr="00C96C12">
        <w:rPr>
          <w:i/>
          <w:iCs/>
          <w:sz w:val="24"/>
          <w:szCs w:val="24"/>
        </w:rPr>
        <w:t>Motion Actuation Subsystem (MAS)</w:t>
      </w:r>
      <w:r>
        <w:rPr>
          <w:sz w:val="24"/>
          <w:szCs w:val="24"/>
        </w:rPr>
        <w:t>, i.e.</w:t>
      </w:r>
      <w:r w:rsidR="002A25B6">
        <w:rPr>
          <w:sz w:val="24"/>
          <w:szCs w:val="24"/>
        </w:rPr>
        <w:t>,</w:t>
      </w:r>
      <w:r>
        <w:rPr>
          <w:sz w:val="24"/>
          <w:szCs w:val="24"/>
        </w:rPr>
        <w:t xml:space="preserve"> the subsystem that operates and actuates the motion instructions in the physical world.</w:t>
      </w:r>
    </w:p>
    <w:p w14:paraId="7EF0D6E7" w14:textId="46BE150D" w:rsidR="005C6B42" w:rsidRDefault="005C6B42" w:rsidP="005C6B42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interaction of the 5 subsystems in depicted in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_Ref76890391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A25B6" w:rsidRPr="00FC31AD">
        <w:rPr>
          <w:i/>
          <w:sz w:val="24"/>
          <w:szCs w:val="24"/>
        </w:rPr>
        <w:t xml:space="preserve">Figure </w:t>
      </w:r>
      <w:r w:rsidR="002A25B6">
        <w:rPr>
          <w:i/>
          <w:noProof/>
          <w:sz w:val="24"/>
          <w:szCs w:val="24"/>
        </w:rPr>
        <w:t>10</w:t>
      </w:r>
      <w:r>
        <w:rPr>
          <w:sz w:val="24"/>
          <w:szCs w:val="24"/>
        </w:rPr>
        <w:fldChar w:fldCharType="end"/>
      </w:r>
    </w:p>
    <w:p w14:paraId="78714B1C" w14:textId="77777777" w:rsidR="005C6B42" w:rsidRDefault="005C6B42" w:rsidP="005C6B42">
      <w:pPr>
        <w:pStyle w:val="CommentTex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89DF1C" wp14:editId="3541020D">
            <wp:extent cx="5934710" cy="2589530"/>
            <wp:effectExtent l="0" t="0" r="8890" b="127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604B" w14:textId="5544E6EE" w:rsidR="005C6B42" w:rsidRPr="00F25927" w:rsidRDefault="005C6B42" w:rsidP="005C6B42">
      <w:pPr>
        <w:pStyle w:val="CommentText"/>
        <w:jc w:val="center"/>
        <w:rPr>
          <w:iCs/>
          <w:sz w:val="24"/>
          <w:szCs w:val="24"/>
        </w:rPr>
      </w:pPr>
      <w:bookmarkStart w:id="25" w:name="_Ref76890391"/>
      <w:bookmarkStart w:id="26" w:name="_Ref76889410"/>
      <w:r w:rsidRPr="00FC31AD">
        <w:rPr>
          <w:i/>
          <w:sz w:val="24"/>
          <w:szCs w:val="24"/>
        </w:rPr>
        <w:t xml:space="preserve">Figure </w:t>
      </w:r>
      <w:r w:rsidRPr="00FC31AD">
        <w:rPr>
          <w:i/>
          <w:sz w:val="24"/>
          <w:szCs w:val="24"/>
        </w:rPr>
        <w:fldChar w:fldCharType="begin"/>
      </w:r>
      <w:r w:rsidRPr="00FC31AD">
        <w:rPr>
          <w:i/>
          <w:sz w:val="24"/>
          <w:szCs w:val="24"/>
        </w:rPr>
        <w:instrText xml:space="preserve"> SEQ Figure \* ARABIC </w:instrText>
      </w:r>
      <w:r w:rsidRPr="00FC31AD">
        <w:rPr>
          <w:i/>
          <w:sz w:val="24"/>
          <w:szCs w:val="24"/>
        </w:rPr>
        <w:fldChar w:fldCharType="separate"/>
      </w:r>
      <w:r w:rsidR="002A25B6">
        <w:rPr>
          <w:i/>
          <w:noProof/>
          <w:sz w:val="24"/>
          <w:szCs w:val="24"/>
        </w:rPr>
        <w:t>10</w:t>
      </w:r>
      <w:r w:rsidRPr="00FC31AD">
        <w:rPr>
          <w:i/>
          <w:sz w:val="24"/>
          <w:szCs w:val="24"/>
        </w:rPr>
        <w:fldChar w:fldCharType="end"/>
      </w:r>
      <w:bookmarkEnd w:id="25"/>
      <w:r w:rsidRPr="00FC31AD">
        <w:rPr>
          <w:i/>
          <w:sz w:val="24"/>
          <w:szCs w:val="24"/>
        </w:rPr>
        <w:t xml:space="preserve"> – The </w:t>
      </w:r>
      <w:r>
        <w:rPr>
          <w:i/>
          <w:sz w:val="24"/>
          <w:szCs w:val="24"/>
        </w:rPr>
        <w:t>CAV subsystems</w:t>
      </w:r>
      <w:bookmarkEnd w:id="26"/>
    </w:p>
    <w:p w14:paraId="21F1493F" w14:textId="77777777" w:rsidR="00D85A44" w:rsidRDefault="00D85A44" w:rsidP="00D85A44">
      <w:pPr>
        <w:jc w:val="both"/>
      </w:pPr>
    </w:p>
    <w:p w14:paraId="4093B7E6" w14:textId="378D5508" w:rsidR="00D85A44" w:rsidRDefault="00D85A44" w:rsidP="00D85A44">
      <w:pPr>
        <w:jc w:val="both"/>
      </w:pPr>
      <w:r>
        <w:t>Approved public MPAI document supporting the MPAI-CAV work area is:</w:t>
      </w:r>
    </w:p>
    <w:p w14:paraId="7616FDFB" w14:textId="54801AB7" w:rsidR="00D85A44" w:rsidRPr="00A50B0E" w:rsidRDefault="00D85A44" w:rsidP="00D85A44">
      <w:pPr>
        <w:pStyle w:val="ListParagraph"/>
        <w:numPr>
          <w:ilvl w:val="0"/>
          <w:numId w:val="17"/>
        </w:numPr>
        <w:rPr>
          <w:lang w:val="it-IT"/>
        </w:rPr>
      </w:pPr>
      <w:r w:rsidRPr="00A50B0E">
        <w:rPr>
          <w:lang w:val="it-IT"/>
        </w:rPr>
        <w:t>MPAI Application Note #9 - MPAI-CAV, N2</w:t>
      </w:r>
      <w:r w:rsidR="003D0E99">
        <w:rPr>
          <w:lang w:val="it-IT"/>
        </w:rPr>
        <w:t>4</w:t>
      </w:r>
      <w:r w:rsidRPr="00A50B0E">
        <w:rPr>
          <w:lang w:val="it-IT"/>
        </w:rPr>
        <w:t>3 [</w:t>
      </w:r>
      <w:r>
        <w:fldChar w:fldCharType="begin"/>
      </w:r>
      <w:r w:rsidRPr="00A50B0E">
        <w:rPr>
          <w:lang w:val="it-IT"/>
        </w:rPr>
        <w:instrText xml:space="preserve"> REF _Ref71387552 \r \h </w:instrText>
      </w:r>
      <w:r>
        <w:fldChar w:fldCharType="separate"/>
      </w:r>
      <w:r w:rsidR="002A25B6">
        <w:rPr>
          <w:lang w:val="it-IT"/>
        </w:rPr>
        <w:t>20</w:t>
      </w:r>
      <w:r>
        <w:fldChar w:fldCharType="end"/>
      </w:r>
      <w:r w:rsidRPr="00A50B0E">
        <w:rPr>
          <w:lang w:val="it-IT"/>
        </w:rPr>
        <w:t>]</w:t>
      </w:r>
    </w:p>
    <w:p w14:paraId="54D2F5D6" w14:textId="53690237" w:rsidR="006C633E" w:rsidRDefault="006C633E" w:rsidP="00D85A44">
      <w:pPr>
        <w:pStyle w:val="ListParagraph"/>
        <w:numPr>
          <w:ilvl w:val="0"/>
          <w:numId w:val="17"/>
        </w:numPr>
      </w:pPr>
      <w:r w:rsidRPr="006C633E">
        <w:t>MPAI-CAV Use Cases and Functional Requirements</w:t>
      </w:r>
      <w:r>
        <w:t xml:space="preserve">, </w:t>
      </w:r>
      <w:r w:rsidRPr="006C633E">
        <w:t>N</w:t>
      </w:r>
      <w:r w:rsidR="00D1768D">
        <w:t>304</w:t>
      </w:r>
      <w:r>
        <w:t xml:space="preserve"> [</w:t>
      </w:r>
      <w:r>
        <w:fldChar w:fldCharType="begin"/>
      </w:r>
      <w:r>
        <w:instrText xml:space="preserve"> REF _Ref74169801 \r \h </w:instrText>
      </w:r>
      <w:r>
        <w:fldChar w:fldCharType="separate"/>
      </w:r>
      <w:r w:rsidR="002A25B6">
        <w:t>21</w:t>
      </w:r>
      <w:r>
        <w:fldChar w:fldCharType="end"/>
      </w:r>
      <w:r>
        <w:t>]</w:t>
      </w:r>
    </w:p>
    <w:p w14:paraId="6EDF5ADA" w14:textId="77777777" w:rsidR="00D56DCD" w:rsidRDefault="00D56DCD" w:rsidP="00D56DCD">
      <w:pPr>
        <w:pStyle w:val="Heading1"/>
      </w:pPr>
      <w:r>
        <w:t>Areas at stage 1 (UC)</w:t>
      </w:r>
    </w:p>
    <w:p w14:paraId="2ABAF001" w14:textId="77777777" w:rsidR="00F74B6D" w:rsidRDefault="00F74B6D" w:rsidP="00F74B6D">
      <w:pPr>
        <w:pStyle w:val="Heading2"/>
        <w:rPr>
          <w:lang w:val="en-GB"/>
        </w:rPr>
      </w:pPr>
      <w:r>
        <w:rPr>
          <w:lang w:val="en-GB"/>
        </w:rPr>
        <w:t>Mixed-Reality Collaborative Spaces</w:t>
      </w:r>
    </w:p>
    <w:p w14:paraId="60962E41" w14:textId="77777777" w:rsidR="00F74B6D" w:rsidRDefault="00F74B6D" w:rsidP="00F74B6D">
      <w:pPr>
        <w:jc w:val="both"/>
      </w:pPr>
      <w:r>
        <w:t>New technologies are emerging which equip developers to deliver mixed-reality collaborative space (MCS) scenarios where biomedical, scientific, and industrial sensor streams and recordings are to be viewed.</w:t>
      </w:r>
    </w:p>
    <w:p w14:paraId="7C794FEC" w14:textId="77777777" w:rsidR="00F74B6D" w:rsidRDefault="00F74B6D" w:rsidP="00F74B6D">
      <w:pPr>
        <w:jc w:val="both"/>
      </w:pPr>
      <w:r>
        <w:t xml:space="preserve">Artificial intelligence can be utilized throughout MCS systems for </w:t>
      </w:r>
      <w:r w:rsidRPr="00400479">
        <w:t>immersive presence, spatial maps</w:t>
      </w:r>
      <w:r>
        <w:t xml:space="preserve"> (e.g. Lidar scans, inside-out tracking)</w:t>
      </w:r>
      <w:r w:rsidRPr="00400479">
        <w:t xml:space="preserve"> rendering, and multiuser sync</w:t>
      </w:r>
      <w:r>
        <w:t>hronization etc..</w:t>
      </w:r>
    </w:p>
    <w:p w14:paraId="54FC088B" w14:textId="77777777" w:rsidR="00F74B6D" w:rsidRDefault="00F74B6D" w:rsidP="00F74B6D">
      <w:pPr>
        <w:jc w:val="both"/>
      </w:pPr>
      <w:r>
        <w:lastRenderedPageBreak/>
        <w:t>Approved MPAI document supporting the MPAI-MCS work area is:</w:t>
      </w:r>
    </w:p>
    <w:p w14:paraId="63E0A76B" w14:textId="1E978978" w:rsidR="00F74B6D" w:rsidRDefault="00F74B6D" w:rsidP="00F74B6D">
      <w:pPr>
        <w:pStyle w:val="ListParagraph"/>
        <w:numPr>
          <w:ilvl w:val="0"/>
          <w:numId w:val="18"/>
        </w:numPr>
      </w:pPr>
      <w:r>
        <w:t xml:space="preserve">Revised </w:t>
      </w:r>
      <w:r w:rsidRPr="0076691D">
        <w:t>MPAI Application Note #</w:t>
      </w:r>
      <w:r>
        <w:t>10</w:t>
      </w:r>
      <w:r w:rsidRPr="0076691D">
        <w:t xml:space="preserve"> - MPAI-</w:t>
      </w:r>
      <w:r>
        <w:t>MCS, N</w:t>
      </w:r>
      <w:r w:rsidR="00DC742A">
        <w:t>305</w:t>
      </w:r>
      <w:r>
        <w:t xml:space="preserve"> [</w:t>
      </w:r>
      <w:r>
        <w:fldChar w:fldCharType="begin"/>
      </w:r>
      <w:r>
        <w:instrText xml:space="preserve"> REF _Ref74169489 \r \h </w:instrText>
      </w:r>
      <w:r>
        <w:fldChar w:fldCharType="separate"/>
      </w:r>
      <w:r>
        <w:t>23</w:t>
      </w:r>
      <w:r>
        <w:fldChar w:fldCharType="end"/>
      </w:r>
      <w:r>
        <w:t>]</w:t>
      </w:r>
    </w:p>
    <w:p w14:paraId="5855CDD1" w14:textId="77777777" w:rsidR="00D56DCD" w:rsidRDefault="00D56DCD" w:rsidP="00D56DCD">
      <w:pPr>
        <w:pStyle w:val="Heading2"/>
        <w:rPr>
          <w:lang w:val="en-GB"/>
        </w:rPr>
      </w:pPr>
      <w:r>
        <w:rPr>
          <w:lang w:val="en-GB"/>
        </w:rPr>
        <w:t>MPAI-OSD</w:t>
      </w:r>
    </w:p>
    <w:p w14:paraId="6EC5A2F7" w14:textId="0F16FE8C" w:rsidR="00D56DCD" w:rsidRPr="009725D7" w:rsidRDefault="00D56DCD" w:rsidP="00D56DCD">
      <w:pPr>
        <w:jc w:val="both"/>
      </w:pPr>
      <w:r w:rsidRPr="00A016BC">
        <w:rPr>
          <w:u w:val="single"/>
        </w:rPr>
        <w:t>Visual object and scene description</w:t>
      </w:r>
      <w:r w:rsidRPr="009725D7">
        <w:t xml:space="preserve"> </w:t>
      </w:r>
      <w:r w:rsidR="00C50D88">
        <w:t xml:space="preserve">is a collection of Use Cases sharing the goal of describe visual object and locate them in the space. </w:t>
      </w:r>
      <w:r>
        <w:t>S</w:t>
      </w:r>
      <w:r w:rsidRPr="009725D7">
        <w:t>cene description includes the usual des</w:t>
      </w:r>
      <w:r>
        <w:softHyphen/>
      </w:r>
      <w:r w:rsidRPr="009725D7">
        <w:t>cription of objects and their attributes in a scene and the semantic description of the objects.</w:t>
      </w:r>
    </w:p>
    <w:p w14:paraId="2F09C7FB" w14:textId="77777777" w:rsidR="00D56DCD" w:rsidRDefault="00D56DCD" w:rsidP="00D56DCD">
      <w:pPr>
        <w:jc w:val="both"/>
      </w:pPr>
      <w:r>
        <w:t>Unlike p</w:t>
      </w:r>
      <w:r w:rsidRPr="009725D7">
        <w:t xml:space="preserve">roprietary solutions </w:t>
      </w:r>
      <w:r>
        <w:t>that</w:t>
      </w:r>
      <w:r w:rsidRPr="009725D7">
        <w:t xml:space="preserve"> address the needs of the use cases</w:t>
      </w:r>
      <w:r>
        <w:t xml:space="preserve"> but </w:t>
      </w:r>
      <w:r w:rsidRPr="009725D7">
        <w:t>lack interoperability or forc</w:t>
      </w:r>
      <w:r>
        <w:t>e</w:t>
      </w:r>
      <w:r w:rsidRPr="009725D7">
        <w:t xml:space="preserve"> all users to adopt a single technology or application</w:t>
      </w:r>
      <w:r>
        <w:t>, a</w:t>
      </w:r>
      <w:r w:rsidRPr="009725D7">
        <w:t xml:space="preserve"> standard representation of the ob</w:t>
      </w:r>
      <w:r>
        <w:softHyphen/>
      </w:r>
      <w:r w:rsidRPr="009725D7">
        <w:t>jects in a scene allows for better satif</w:t>
      </w:r>
      <w:r>
        <w:t>action of</w:t>
      </w:r>
      <w:r w:rsidRPr="009725D7">
        <w:t xml:space="preserve"> the requirements.</w:t>
      </w:r>
    </w:p>
    <w:p w14:paraId="43AA3850" w14:textId="77777777" w:rsidR="001E7B37" w:rsidRDefault="00D56DCD" w:rsidP="00D56DCD">
      <w:pPr>
        <w:jc w:val="both"/>
      </w:pPr>
      <w:r>
        <w:t xml:space="preserve">Approved MPAI document supporting </w:t>
      </w:r>
      <w:r w:rsidR="001E7B37">
        <w:t xml:space="preserve">the </w:t>
      </w:r>
      <w:r>
        <w:t>MPAI-OSD work area is</w:t>
      </w:r>
      <w:r w:rsidR="001E7B37">
        <w:t>:</w:t>
      </w:r>
    </w:p>
    <w:p w14:paraId="6CF95BFE" w14:textId="0C0D787B" w:rsidR="00930E4F" w:rsidRDefault="001E7B37" w:rsidP="00D85A44">
      <w:pPr>
        <w:pStyle w:val="ListParagraph"/>
        <w:numPr>
          <w:ilvl w:val="0"/>
          <w:numId w:val="12"/>
        </w:numPr>
      </w:pPr>
      <w:r w:rsidRPr="0076691D">
        <w:t>MPAI Application Note #8 - MPAI-OSD</w:t>
      </w:r>
      <w:r>
        <w:t xml:space="preserve">, </w:t>
      </w:r>
      <w:r w:rsidR="004F654C">
        <w:t>N</w:t>
      </w:r>
      <w:r w:rsidR="00930E4F">
        <w:t>93</w:t>
      </w:r>
      <w:r w:rsidR="00683505">
        <w:t xml:space="preserve"> [</w:t>
      </w:r>
      <w:r w:rsidR="006C633E">
        <w:fldChar w:fldCharType="begin"/>
      </w:r>
      <w:r w:rsidR="006C633E">
        <w:instrText xml:space="preserve"> REF _Ref74169827 \r \h </w:instrText>
      </w:r>
      <w:r w:rsidR="006C633E">
        <w:fldChar w:fldCharType="separate"/>
      </w:r>
      <w:r w:rsidR="002A25B6">
        <w:t>22</w:t>
      </w:r>
      <w:r w:rsidR="006C633E">
        <w:fldChar w:fldCharType="end"/>
      </w:r>
      <w:r w:rsidR="00683505">
        <w:t>]</w:t>
      </w:r>
    </w:p>
    <w:p w14:paraId="46845943" w14:textId="6F2A962C" w:rsidR="00D80D33" w:rsidRDefault="00D80D33" w:rsidP="00D80D33">
      <w:pPr>
        <w:pStyle w:val="Heading1"/>
      </w:pPr>
      <w:r>
        <w:t xml:space="preserve">Other </w:t>
      </w:r>
      <w:r w:rsidR="006A5023">
        <w:t xml:space="preserve">possible </w:t>
      </w:r>
      <w:r>
        <w:t>areas</w:t>
      </w:r>
    </w:p>
    <w:p w14:paraId="7309965D" w14:textId="432612DB" w:rsidR="00D32B9C" w:rsidRPr="00D32B9C" w:rsidRDefault="00D32B9C" w:rsidP="00D32B9C">
      <w:r>
        <w:t xml:space="preserve">Several </w:t>
      </w:r>
      <w:r w:rsidR="00F03528">
        <w:t>potential areas for standardisation are likely to emerge from [</w:t>
      </w:r>
      <w:r w:rsidR="006C633E">
        <w:fldChar w:fldCharType="begin"/>
      </w:r>
      <w:r w:rsidR="006C633E">
        <w:instrText xml:space="preserve"> REF _Ref74169867 \r \h </w:instrText>
      </w:r>
      <w:r w:rsidR="006C633E">
        <w:fldChar w:fldCharType="separate"/>
      </w:r>
      <w:r w:rsidR="002A25B6">
        <w:t>24</w:t>
      </w:r>
      <w:r w:rsidR="006C633E">
        <w:fldChar w:fldCharType="end"/>
      </w:r>
      <w:r w:rsidR="00F03528">
        <w:t xml:space="preserve">]. </w:t>
      </w:r>
    </w:p>
    <w:p w14:paraId="127A3F4C" w14:textId="77777777" w:rsidR="00560A44" w:rsidRDefault="00560A44" w:rsidP="00560A44">
      <w:pPr>
        <w:pStyle w:val="Heading2"/>
      </w:pPr>
      <w:r w:rsidRPr="00D32B9C">
        <w:t>Vision-to-Sound Transformation</w:t>
      </w:r>
    </w:p>
    <w:p w14:paraId="76DAFB95" w14:textId="77777777" w:rsidR="00560A44" w:rsidRPr="00D32B9C" w:rsidRDefault="00560A44" w:rsidP="00560A44">
      <w:pPr>
        <w:rPr>
          <w:lang w:val="x-none"/>
        </w:rPr>
      </w:pPr>
      <w:r>
        <w:t>It is possible to give a spatial representation of an image that visually impaired people can hear with two headphones as a localization and description medium.</w:t>
      </w:r>
      <w:r w:rsidRPr="002E4468">
        <w:t xml:space="preserve"> </w:t>
      </w:r>
      <w:r>
        <w:t>It is a conversion (compression) technique from one space to a different interpretation space.</w:t>
      </w:r>
    </w:p>
    <w:p w14:paraId="3E43CE2D" w14:textId="2582E6D9" w:rsidR="003041D6" w:rsidRDefault="003041D6" w:rsidP="003041D6">
      <w:pPr>
        <w:pStyle w:val="Heading2"/>
      </w:pPr>
      <w:r w:rsidRPr="003041D6">
        <w:t>Anomalous service access</w:t>
      </w:r>
    </w:p>
    <w:p w14:paraId="29DED8F7" w14:textId="1DB7C00E" w:rsidR="003041D6" w:rsidRDefault="00500386" w:rsidP="003041D6">
      <w:r w:rsidRPr="00500386">
        <w:t xml:space="preserve">A machine that has learnt "typical" service access values for a particular service provider can detect attempts </w:t>
      </w:r>
      <w:r>
        <w:t>beyond</w:t>
      </w:r>
      <w:r w:rsidRPr="00500386">
        <w:t xml:space="preserve"> "typical" values.</w:t>
      </w:r>
    </w:p>
    <w:p w14:paraId="1314F92B" w14:textId="4930E190" w:rsidR="00500386" w:rsidRDefault="009F31DD" w:rsidP="00500386">
      <w:pPr>
        <w:pStyle w:val="Heading2"/>
        <w:rPr>
          <w:lang w:val="en-GB"/>
        </w:rPr>
      </w:pPr>
      <w:r>
        <w:rPr>
          <w:lang w:val="en-GB"/>
        </w:rPr>
        <w:t>Anomalous</w:t>
      </w:r>
      <w:r w:rsidR="00500386">
        <w:rPr>
          <w:lang w:val="en-GB"/>
        </w:rPr>
        <w:t xml:space="preserve"> vibrations</w:t>
      </w:r>
    </w:p>
    <w:p w14:paraId="28EF1B64" w14:textId="5CDD405F" w:rsidR="00500386" w:rsidRDefault="00B21D03" w:rsidP="00500386">
      <w:r>
        <w:t xml:space="preserve">A </w:t>
      </w:r>
      <w:r w:rsidR="00500386">
        <w:t xml:space="preserve">machine learns from the data generated by </w:t>
      </w:r>
      <w:r w:rsidR="00500386" w:rsidRPr="00500386">
        <w:t>inertial sensor</w:t>
      </w:r>
      <w:r w:rsidR="00500386">
        <w:t>s</w:t>
      </w:r>
      <w:r w:rsidR="00500386" w:rsidRPr="00500386">
        <w:t xml:space="preserve"> (accelerometer with gyroscope)</w:t>
      </w:r>
      <w:r w:rsidR="00500386">
        <w:t xml:space="preserve"> to </w:t>
      </w:r>
      <w:r w:rsidR="009F31DD">
        <w:t>distinguish</w:t>
      </w:r>
      <w:r w:rsidR="00500386">
        <w:t xml:space="preserve"> between regular and anomalous vibrations.</w:t>
      </w:r>
    </w:p>
    <w:p w14:paraId="57B4D81E" w14:textId="3DE51663" w:rsidR="00B2147F" w:rsidRDefault="00B2147F" w:rsidP="00B2147F">
      <w:pPr>
        <w:pStyle w:val="Heading1"/>
      </w:pPr>
      <w:r>
        <w:t>References</w:t>
      </w:r>
    </w:p>
    <w:p w14:paraId="66DF9E0A" w14:textId="26AE3A32" w:rsidR="008B553E" w:rsidRPr="00CC5105" w:rsidRDefault="008B553E" w:rsidP="008B553E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bookmarkStart w:id="27" w:name="_Ref61263217"/>
      <w:bookmarkStart w:id="28" w:name="_Ref61263173"/>
      <w:bookmarkStart w:id="29" w:name="_Ref62225206"/>
      <w:r w:rsidRPr="00CC5105">
        <w:t xml:space="preserve">MPAI-AIF Use Cases &amp; Functional Requirements, N74; </w:t>
      </w:r>
      <w:bookmarkEnd w:id="27"/>
      <w:r w:rsidR="00AD503D">
        <w:fldChar w:fldCharType="begin"/>
      </w:r>
      <w:r w:rsidR="00AD503D">
        <w:instrText xml:space="preserve"> HYPERLINK "</w:instrText>
      </w:r>
      <w:r w:rsidR="00AD503D" w:rsidRPr="00AD503D">
        <w:instrText>https://mpai.community/standards/mpai-aif/#UCFR</w:instrText>
      </w:r>
      <w:r w:rsidR="00AD503D">
        <w:instrText xml:space="preserve">" </w:instrText>
      </w:r>
      <w:r w:rsidR="00AD503D">
        <w:fldChar w:fldCharType="separate"/>
      </w:r>
      <w:r w:rsidR="00AD503D" w:rsidRPr="00C14C1C">
        <w:rPr>
          <w:rStyle w:val="Hyperlink"/>
        </w:rPr>
        <w:t>https://mpai.community/standards/mpai-aif/#UCFR</w:t>
      </w:r>
      <w:r w:rsidR="00AD503D">
        <w:fldChar w:fldCharType="end"/>
      </w:r>
      <w:r w:rsidR="00AD503D">
        <w:t xml:space="preserve"> </w:t>
      </w:r>
    </w:p>
    <w:p w14:paraId="2BBEC58B" w14:textId="5930E82F" w:rsidR="008B553E" w:rsidRPr="007344A7" w:rsidRDefault="008B553E" w:rsidP="008B553E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bookmarkStart w:id="30" w:name="_Ref61263247"/>
      <w:bookmarkStart w:id="31" w:name="_Ref64215494"/>
      <w:r>
        <w:t>MPAI-AIF Call for Technologies, N100</w:t>
      </w:r>
      <w:bookmarkEnd w:id="30"/>
      <w:r>
        <w:t xml:space="preserve">; </w:t>
      </w:r>
      <w:hyperlink r:id="rId18" w:anchor="CfT" w:history="1">
        <w:r w:rsidR="00AD503D" w:rsidRPr="00C14C1C">
          <w:rPr>
            <w:rStyle w:val="Hyperlink"/>
          </w:rPr>
          <w:t>https://mpai.community/standards/mpai-aif/#CfT</w:t>
        </w:r>
      </w:hyperlink>
      <w:bookmarkEnd w:id="31"/>
      <w:r w:rsidR="00AD503D">
        <w:t xml:space="preserve"> </w:t>
      </w:r>
    </w:p>
    <w:p w14:paraId="50AD2C27" w14:textId="0B3F1E3B" w:rsidR="008B553E" w:rsidRDefault="008B553E" w:rsidP="008B553E">
      <w:pPr>
        <w:pStyle w:val="ListParagraph"/>
        <w:numPr>
          <w:ilvl w:val="0"/>
          <w:numId w:val="14"/>
        </w:numPr>
      </w:pPr>
      <w:bookmarkStart w:id="32" w:name="_Hlk64199012"/>
      <w:r>
        <w:t xml:space="preserve">MPAI-AIF Framework Licence, MPAI N171; </w:t>
      </w:r>
      <w:hyperlink r:id="rId19" w:anchor="FWL" w:history="1">
        <w:r w:rsidR="00AD503D" w:rsidRPr="00C14C1C">
          <w:rPr>
            <w:rStyle w:val="Hyperlink"/>
          </w:rPr>
          <w:t>https://mpai.community/standards/mpai-aif/#FWL</w:t>
        </w:r>
      </w:hyperlink>
      <w:bookmarkEnd w:id="32"/>
      <w:r w:rsidR="00AD503D">
        <w:t xml:space="preserve"> </w:t>
      </w:r>
      <w:r>
        <w:t xml:space="preserve"> </w:t>
      </w:r>
      <w:r w:rsidR="00AD503D">
        <w:t xml:space="preserve"> </w:t>
      </w:r>
    </w:p>
    <w:p w14:paraId="1E83B906" w14:textId="32429738" w:rsidR="008B553E" w:rsidRDefault="008B553E" w:rsidP="008B553E">
      <w:pPr>
        <w:pStyle w:val="ListParagraph"/>
        <w:numPr>
          <w:ilvl w:val="0"/>
          <w:numId w:val="14"/>
        </w:numPr>
      </w:pPr>
      <w:bookmarkStart w:id="33" w:name="_Ref64197723"/>
      <w:r w:rsidRPr="00CC5105">
        <w:t>MPAI-CAE Use Cases &amp; Functional Requirements</w:t>
      </w:r>
      <w:r>
        <w:t>;</w:t>
      </w:r>
      <w:r w:rsidRPr="00CC5105">
        <w:t xml:space="preserve"> MPAI N1</w:t>
      </w:r>
      <w:r>
        <w:t>5</w:t>
      </w:r>
      <w:r w:rsidRPr="00CC5105">
        <w:t>1</w:t>
      </w:r>
      <w:bookmarkEnd w:id="28"/>
      <w:r>
        <w:t xml:space="preserve">; </w:t>
      </w:r>
      <w:hyperlink r:id="rId20" w:anchor="UCFR" w:history="1">
        <w:r w:rsidRPr="00576A35">
          <w:rPr>
            <w:rStyle w:val="Hyperlink"/>
          </w:rPr>
          <w:t>https://mpai.community/standards/mpai-cae/#UCFR</w:t>
        </w:r>
      </w:hyperlink>
      <w:bookmarkEnd w:id="33"/>
      <w:r>
        <w:t xml:space="preserve"> </w:t>
      </w:r>
    </w:p>
    <w:p w14:paraId="3E5DE163" w14:textId="3C7154F5" w:rsidR="008B553E" w:rsidRDefault="008B553E" w:rsidP="008B553E">
      <w:pPr>
        <w:pStyle w:val="ListParagraph"/>
        <w:numPr>
          <w:ilvl w:val="0"/>
          <w:numId w:val="14"/>
        </w:numPr>
      </w:pPr>
      <w:bookmarkStart w:id="34" w:name="_Ref64215789"/>
      <w:bookmarkStart w:id="35" w:name="_Ref61701902"/>
      <w:r>
        <w:t xml:space="preserve">MPAI-CAE Call for Technologies, MPAI N152; </w:t>
      </w:r>
      <w:hyperlink r:id="rId21" w:anchor="CfT" w:history="1">
        <w:r w:rsidR="001A37B3" w:rsidRPr="00463A62">
          <w:rPr>
            <w:rStyle w:val="Hyperlink"/>
          </w:rPr>
          <w:t>https://mpai.community/standards/mpai-cae/#CfT</w:t>
        </w:r>
      </w:hyperlink>
      <w:bookmarkEnd w:id="34"/>
      <w:r>
        <w:t xml:space="preserve"> </w:t>
      </w:r>
    </w:p>
    <w:p w14:paraId="329C745F" w14:textId="3E24615A" w:rsidR="008B553E" w:rsidRDefault="008B553E" w:rsidP="008B553E">
      <w:pPr>
        <w:pStyle w:val="ListParagraph"/>
        <w:numPr>
          <w:ilvl w:val="0"/>
          <w:numId w:val="14"/>
        </w:numPr>
      </w:pPr>
      <w:bookmarkStart w:id="36" w:name="_Ref64197752"/>
      <w:r>
        <w:t xml:space="preserve">MPAI-CAE Framework Licence, MPAI N171; </w:t>
      </w:r>
      <w:hyperlink r:id="rId22" w:anchor="FWL" w:history="1">
        <w:r w:rsidR="001A37B3" w:rsidRPr="00463A62">
          <w:rPr>
            <w:rStyle w:val="Hyperlink"/>
          </w:rPr>
          <w:t>https://mpai.community/standards/mpai-cae/#FWL</w:t>
        </w:r>
      </w:hyperlink>
      <w:bookmarkEnd w:id="36"/>
      <w:r>
        <w:t xml:space="preserve"> </w:t>
      </w:r>
    </w:p>
    <w:p w14:paraId="37293F72" w14:textId="5C4EE9B2" w:rsidR="008B553E" w:rsidRDefault="008B553E" w:rsidP="008B553E">
      <w:pPr>
        <w:pStyle w:val="ListParagraph"/>
        <w:numPr>
          <w:ilvl w:val="0"/>
          <w:numId w:val="14"/>
        </w:numPr>
      </w:pPr>
      <w:bookmarkStart w:id="37" w:name="_Ref64216331"/>
      <w:r w:rsidRPr="00CC5105">
        <w:t>MPAI-</w:t>
      </w:r>
      <w:r>
        <w:t>MM</w:t>
      </w:r>
      <w:r w:rsidRPr="00CC5105">
        <w:t>C Use Cases &amp; Functional Requirements</w:t>
      </w:r>
      <w:r>
        <w:t>;</w:t>
      </w:r>
      <w:r w:rsidRPr="00CC5105">
        <w:t xml:space="preserve"> MPAI N1</w:t>
      </w:r>
      <w:r>
        <w:t>53</w:t>
      </w:r>
      <w:bookmarkEnd w:id="35"/>
      <w:r>
        <w:t xml:space="preserve">; </w:t>
      </w:r>
      <w:hyperlink r:id="rId23" w:anchor="UCFR" w:history="1">
        <w:r w:rsidRPr="00576A35">
          <w:rPr>
            <w:rStyle w:val="Hyperlink"/>
          </w:rPr>
          <w:t>https://mpai.community/standards/mpai-mmc/#UCFR</w:t>
        </w:r>
      </w:hyperlink>
      <w:bookmarkEnd w:id="37"/>
      <w:r>
        <w:t xml:space="preserve"> </w:t>
      </w:r>
    </w:p>
    <w:p w14:paraId="4473D793" w14:textId="5F6805F4" w:rsidR="008B553E" w:rsidRDefault="008B553E" w:rsidP="008B553E">
      <w:pPr>
        <w:pStyle w:val="ListParagraph"/>
        <w:numPr>
          <w:ilvl w:val="0"/>
          <w:numId w:val="14"/>
        </w:numPr>
      </w:pPr>
      <w:bookmarkStart w:id="38" w:name="_Ref64216358"/>
      <w:r>
        <w:t xml:space="preserve">MPAI-MMC Call for Technologies, MPAI N154; </w:t>
      </w:r>
      <w:hyperlink r:id="rId24" w:anchor="CfT" w:history="1">
        <w:r w:rsidR="001A37B3" w:rsidRPr="00463A62">
          <w:rPr>
            <w:rStyle w:val="Hyperlink"/>
          </w:rPr>
          <w:t>https://mpai.community/standards/mpai-mmc/#CfT</w:t>
        </w:r>
      </w:hyperlink>
      <w:bookmarkEnd w:id="38"/>
      <w:r>
        <w:t xml:space="preserve"> </w:t>
      </w:r>
    </w:p>
    <w:p w14:paraId="6083C7C7" w14:textId="65411D63" w:rsidR="002F7014" w:rsidRDefault="008B553E" w:rsidP="003A4183">
      <w:pPr>
        <w:pStyle w:val="ListParagraph"/>
        <w:numPr>
          <w:ilvl w:val="0"/>
          <w:numId w:val="14"/>
        </w:numPr>
      </w:pPr>
      <w:bookmarkStart w:id="39" w:name="_Ref64216375"/>
      <w:r>
        <w:t xml:space="preserve">MPAI-MMC Framework Licence, N173; </w:t>
      </w:r>
      <w:hyperlink r:id="rId25" w:anchor="FWL" w:history="1">
        <w:r w:rsidR="001A37B3" w:rsidRPr="00463A62">
          <w:rPr>
            <w:rStyle w:val="Hyperlink"/>
          </w:rPr>
          <w:t>https://mpai.community/standards/mpai-mmc/#FWL</w:t>
        </w:r>
      </w:hyperlink>
      <w:bookmarkEnd w:id="29"/>
      <w:bookmarkEnd w:id="39"/>
    </w:p>
    <w:p w14:paraId="68440CF9" w14:textId="04FB5374" w:rsidR="00C0706C" w:rsidRDefault="00C0706C" w:rsidP="003A4183">
      <w:pPr>
        <w:pStyle w:val="ListParagraph"/>
        <w:numPr>
          <w:ilvl w:val="0"/>
          <w:numId w:val="14"/>
        </w:numPr>
      </w:pPr>
      <w:bookmarkStart w:id="40" w:name="_Ref62226495"/>
      <w:r w:rsidRPr="00C0706C">
        <w:t>MPAI-CUI Use Cases and Functional Requirement</w:t>
      </w:r>
      <w:r>
        <w:t xml:space="preserve">, </w:t>
      </w:r>
      <w:r w:rsidRPr="00C0706C">
        <w:t>N</w:t>
      </w:r>
      <w:bookmarkEnd w:id="40"/>
      <w:r w:rsidR="005B6668">
        <w:t>200</w:t>
      </w:r>
      <w:r w:rsidR="00C534E8">
        <w:t xml:space="preserve">; </w:t>
      </w:r>
      <w:hyperlink r:id="rId26" w:anchor="UCFR" w:history="1">
        <w:r w:rsidR="001A37B3" w:rsidRPr="00463A62">
          <w:rPr>
            <w:rStyle w:val="Hyperlink"/>
          </w:rPr>
          <w:t>https://mpai.community/standards/mpai-cui/#UCFR</w:t>
        </w:r>
      </w:hyperlink>
      <w:r w:rsidR="00C534E8">
        <w:t xml:space="preserve"> </w:t>
      </w:r>
    </w:p>
    <w:p w14:paraId="4A4EAECC" w14:textId="0701F74B" w:rsidR="005B6668" w:rsidRDefault="005B6668" w:rsidP="005B6668">
      <w:pPr>
        <w:pStyle w:val="ListParagraph"/>
        <w:numPr>
          <w:ilvl w:val="0"/>
          <w:numId w:val="14"/>
        </w:numPr>
      </w:pPr>
      <w:bookmarkStart w:id="41" w:name="_Ref66617210"/>
      <w:bookmarkStart w:id="42" w:name="_Ref62226499"/>
      <w:r w:rsidRPr="005B6668">
        <w:lastRenderedPageBreak/>
        <w:t>MPAI-C</w:t>
      </w:r>
      <w:r>
        <w:t>UI</w:t>
      </w:r>
      <w:r w:rsidRPr="005B6668">
        <w:t xml:space="preserve"> Call for Technologies, N</w:t>
      </w:r>
      <w:r>
        <w:t xml:space="preserve">201; </w:t>
      </w:r>
      <w:hyperlink r:id="rId27" w:anchor="CfT" w:history="1">
        <w:r w:rsidR="001A37B3" w:rsidRPr="00463A62">
          <w:rPr>
            <w:rStyle w:val="Hyperlink"/>
          </w:rPr>
          <w:t>https://mpai.community/standards/mpai-mmc/#CfT</w:t>
        </w:r>
      </w:hyperlink>
      <w:bookmarkEnd w:id="41"/>
      <w:r>
        <w:t xml:space="preserve"> </w:t>
      </w:r>
    </w:p>
    <w:p w14:paraId="1C07254A" w14:textId="657DCC58" w:rsidR="005B6668" w:rsidRDefault="005B6668" w:rsidP="005B6668">
      <w:pPr>
        <w:pStyle w:val="ListParagraph"/>
        <w:numPr>
          <w:ilvl w:val="0"/>
          <w:numId w:val="14"/>
        </w:numPr>
      </w:pPr>
      <w:bookmarkStart w:id="43" w:name="_Ref66617233"/>
      <w:r>
        <w:t xml:space="preserve">MPAI-CUI Framework Licence, N202; </w:t>
      </w:r>
      <w:hyperlink r:id="rId28" w:anchor="FWL" w:history="1">
        <w:r w:rsidR="001A37B3" w:rsidRPr="00463A62">
          <w:rPr>
            <w:rStyle w:val="Hyperlink"/>
          </w:rPr>
          <w:t>https://mpai.community/standards/mpai-cae/#FWL</w:t>
        </w:r>
      </w:hyperlink>
      <w:bookmarkEnd w:id="43"/>
    </w:p>
    <w:p w14:paraId="217455E9" w14:textId="4988D6C5" w:rsidR="001E1316" w:rsidRDefault="0052046C" w:rsidP="003A4183">
      <w:pPr>
        <w:pStyle w:val="ListParagraph"/>
        <w:numPr>
          <w:ilvl w:val="0"/>
          <w:numId w:val="14"/>
        </w:numPr>
      </w:pPr>
      <w:bookmarkStart w:id="44" w:name="_Ref66617321"/>
      <w:r>
        <w:t xml:space="preserve">Draft </w:t>
      </w:r>
      <w:r w:rsidR="001E1316" w:rsidRPr="00C0706C">
        <w:t>MPAI-</w:t>
      </w:r>
      <w:r w:rsidR="001E1316">
        <w:t>GSA</w:t>
      </w:r>
      <w:r w:rsidR="001E1316" w:rsidRPr="00C0706C">
        <w:t xml:space="preserve"> Use Cases and Functional Requirements</w:t>
      </w:r>
      <w:r w:rsidR="001E1316">
        <w:t>, N</w:t>
      </w:r>
      <w:r>
        <w:t>1</w:t>
      </w:r>
      <w:bookmarkEnd w:id="42"/>
      <w:r w:rsidR="000E347D">
        <w:t>94</w:t>
      </w:r>
      <w:r w:rsidR="00475409">
        <w:t xml:space="preserve">; </w:t>
      </w:r>
      <w:hyperlink r:id="rId29" w:anchor="UCFR" w:history="1">
        <w:r w:rsidR="001A37B3" w:rsidRPr="00463A62">
          <w:rPr>
            <w:rStyle w:val="Hyperlink"/>
          </w:rPr>
          <w:t>https://mpai.community/standards/mpai-gsa/#UCFR</w:t>
        </w:r>
      </w:hyperlink>
      <w:bookmarkEnd w:id="44"/>
      <w:r w:rsidR="00475409">
        <w:t xml:space="preserve"> </w:t>
      </w:r>
    </w:p>
    <w:p w14:paraId="71F321D7" w14:textId="38BD40F7" w:rsidR="00AA412C" w:rsidRDefault="00AA412C" w:rsidP="003A4183">
      <w:pPr>
        <w:pStyle w:val="ListParagraph"/>
        <w:numPr>
          <w:ilvl w:val="0"/>
          <w:numId w:val="14"/>
        </w:numPr>
      </w:pPr>
      <w:bookmarkStart w:id="45" w:name="_Ref64217495"/>
      <w:r>
        <w:t xml:space="preserve">Draft </w:t>
      </w:r>
      <w:r w:rsidRPr="00C0706C">
        <w:t>MPAI-</w:t>
      </w:r>
      <w:r>
        <w:t>SPG</w:t>
      </w:r>
      <w:r w:rsidRPr="00C0706C">
        <w:t xml:space="preserve"> Use Cases and Functional Requirements</w:t>
      </w:r>
      <w:r w:rsidR="001A37B3">
        <w:t>,</w:t>
      </w:r>
      <w:r>
        <w:t xml:space="preserve"> N</w:t>
      </w:r>
      <w:bookmarkEnd w:id="45"/>
      <w:r w:rsidR="000E347D">
        <w:t>218</w:t>
      </w:r>
      <w:r w:rsidR="001A37B3">
        <w:t xml:space="preserve">; </w:t>
      </w:r>
      <w:bookmarkStart w:id="46" w:name="_Hlk74169635"/>
      <w:r w:rsidR="006C633E">
        <w:fldChar w:fldCharType="begin"/>
      </w:r>
      <w:r w:rsidR="006C633E">
        <w:instrText xml:space="preserve"> HYPERLINK "https://mpai.community/standards/mpai-spg/" \l "UCFR" </w:instrText>
      </w:r>
      <w:r w:rsidR="006C633E">
        <w:fldChar w:fldCharType="separate"/>
      </w:r>
      <w:r w:rsidR="001A37B3" w:rsidRPr="00463A62">
        <w:rPr>
          <w:rStyle w:val="Hyperlink"/>
        </w:rPr>
        <w:t>https://mpai.community/standards/mpai-spg/#UCFR</w:t>
      </w:r>
      <w:r w:rsidR="006C633E">
        <w:rPr>
          <w:rStyle w:val="Hyperlink"/>
        </w:rPr>
        <w:fldChar w:fldCharType="end"/>
      </w:r>
      <w:bookmarkEnd w:id="46"/>
    </w:p>
    <w:p w14:paraId="4FB3303A" w14:textId="4F720392" w:rsidR="0076691D" w:rsidRDefault="0076691D" w:rsidP="003A4183">
      <w:pPr>
        <w:pStyle w:val="ListParagraph"/>
        <w:numPr>
          <w:ilvl w:val="0"/>
          <w:numId w:val="14"/>
        </w:numPr>
      </w:pPr>
      <w:bookmarkStart w:id="47" w:name="_Ref62226569"/>
      <w:bookmarkStart w:id="48" w:name="_Ref64215812"/>
      <w:r w:rsidRPr="0076691D">
        <w:t>MPAI Application Note #3 R1 - MPAI-EVC</w:t>
      </w:r>
      <w:r>
        <w:t xml:space="preserve">, </w:t>
      </w:r>
      <w:r w:rsidRPr="0076691D">
        <w:t>N61</w:t>
      </w:r>
      <w:bookmarkEnd w:id="47"/>
      <w:bookmarkEnd w:id="48"/>
      <w:r w:rsidR="00683505">
        <w:t xml:space="preserve">; </w:t>
      </w:r>
      <w:hyperlink r:id="rId30" w:anchor="Note" w:history="1">
        <w:r w:rsidR="001A37B3" w:rsidRPr="00463A62">
          <w:rPr>
            <w:rStyle w:val="Hyperlink"/>
          </w:rPr>
          <w:t>https://mpai.community/standards/mpai-evc/#Note</w:t>
        </w:r>
      </w:hyperlink>
    </w:p>
    <w:p w14:paraId="43091C32" w14:textId="71680C36" w:rsidR="0076691D" w:rsidRDefault="0076691D" w:rsidP="003A4183">
      <w:pPr>
        <w:pStyle w:val="ListParagraph"/>
        <w:numPr>
          <w:ilvl w:val="0"/>
          <w:numId w:val="14"/>
        </w:numPr>
      </w:pPr>
      <w:bookmarkStart w:id="49" w:name="_Ref62226571"/>
      <w:bookmarkStart w:id="50" w:name="_Ref64224120"/>
      <w:r w:rsidRPr="0076691D">
        <w:t>MPAI-EVC Use Cases and Requirements</w:t>
      </w:r>
      <w:r>
        <w:t>, N</w:t>
      </w:r>
      <w:r w:rsidR="005F136C">
        <w:t>92</w:t>
      </w:r>
      <w:bookmarkEnd w:id="49"/>
      <w:r w:rsidR="00683505">
        <w:t xml:space="preserve">; </w:t>
      </w:r>
      <w:hyperlink r:id="rId31" w:anchor="Requirements" w:history="1">
        <w:r w:rsidR="00683505" w:rsidRPr="00D402FB">
          <w:rPr>
            <w:rStyle w:val="Hyperlink"/>
          </w:rPr>
          <w:t>https://mpai.community/standards/mpai-evc/#</w:t>
        </w:r>
        <w:r w:rsidR="001A37B3">
          <w:rPr>
            <w:rStyle w:val="Hyperlink"/>
          </w:rPr>
          <w:t>UCF</w:t>
        </w:r>
        <w:r w:rsidR="00683505" w:rsidRPr="00D402FB">
          <w:rPr>
            <w:rStyle w:val="Hyperlink"/>
          </w:rPr>
          <w:t>R</w:t>
        </w:r>
      </w:hyperlink>
      <w:bookmarkEnd w:id="50"/>
    </w:p>
    <w:p w14:paraId="6EFF7739" w14:textId="2D1CD34C" w:rsidR="0076691D" w:rsidRDefault="0076691D" w:rsidP="003A4183">
      <w:pPr>
        <w:pStyle w:val="ListParagraph"/>
        <w:numPr>
          <w:ilvl w:val="0"/>
          <w:numId w:val="14"/>
        </w:numPr>
      </w:pPr>
      <w:bookmarkStart w:id="51" w:name="_Ref62226574"/>
      <w:bookmarkStart w:id="52" w:name="_Ref64224092"/>
      <w:r w:rsidRPr="0076691D">
        <w:t>Collaborative Evidence Conditions for MPAI-EVC Evidence Project R</w:t>
      </w:r>
      <w:r>
        <w:t>ev.</w:t>
      </w:r>
      <w:r w:rsidRPr="0076691D">
        <w:t>1</w:t>
      </w:r>
      <w:r>
        <w:t>, N69</w:t>
      </w:r>
      <w:bookmarkEnd w:id="51"/>
      <w:r w:rsidR="00683505">
        <w:t xml:space="preserve">; </w:t>
      </w:r>
      <w:hyperlink r:id="rId32" w:history="1">
        <w:r w:rsidR="00683505" w:rsidRPr="00FD0AE6">
          <w:rPr>
            <w:rStyle w:val="Hyperlink"/>
          </w:rPr>
          <w:t>https://mpai.community/wp-content/uploads/2020/11/Collaborative-Evidence-Conditions-for-MPAI-EVC-Evidence-Project-R1.docx</w:t>
        </w:r>
      </w:hyperlink>
      <w:bookmarkEnd w:id="52"/>
    </w:p>
    <w:p w14:paraId="47344F16" w14:textId="72ACF520" w:rsidR="0076691D" w:rsidRPr="008B4822" w:rsidRDefault="0076691D" w:rsidP="003A4183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bookmarkStart w:id="53" w:name="_Ref62226576"/>
      <w:bookmarkStart w:id="54" w:name="_Ref64224077"/>
      <w:r w:rsidRPr="0076691D">
        <w:t>Operational Guidelines for MPAI-EVC Evidence Project</w:t>
      </w:r>
      <w:r>
        <w:t>, N70</w:t>
      </w:r>
      <w:bookmarkEnd w:id="53"/>
      <w:r w:rsidR="00683505">
        <w:t xml:space="preserve">; </w:t>
      </w:r>
      <w:hyperlink r:id="rId33" w:history="1">
        <w:r w:rsidR="00683505" w:rsidRPr="00D402FB">
          <w:rPr>
            <w:rStyle w:val="Hyperlink"/>
          </w:rPr>
          <w:t>https://mpai.community/wp-content/uploads/2020/11/N70-Operational-Guidelines-for-MPAI-EVC-Evidence-Project.docx</w:t>
        </w:r>
      </w:hyperlink>
      <w:bookmarkEnd w:id="54"/>
    </w:p>
    <w:p w14:paraId="77021AF9" w14:textId="63FFC896" w:rsidR="007A4ED5" w:rsidRPr="003E240A" w:rsidRDefault="007A4ED5" w:rsidP="00C534E8">
      <w:pPr>
        <w:pStyle w:val="ListParagraph"/>
        <w:numPr>
          <w:ilvl w:val="0"/>
          <w:numId w:val="14"/>
        </w:numPr>
      </w:pPr>
      <w:bookmarkStart w:id="55" w:name="_Ref71385286"/>
      <w:bookmarkStart w:id="56" w:name="_Ref64224044"/>
      <w:bookmarkStart w:id="57" w:name="_Ref62226778"/>
      <w:r w:rsidRPr="003E240A">
        <w:t>Status report of MPAI-EVC Evidence Project, N2</w:t>
      </w:r>
      <w:r w:rsidR="00D85A44">
        <w:t>71</w:t>
      </w:r>
      <w:r w:rsidRPr="003E240A">
        <w:t>;</w:t>
      </w:r>
      <w:bookmarkEnd w:id="55"/>
      <w:r w:rsidRPr="003E240A">
        <w:t xml:space="preserve"> </w:t>
      </w:r>
      <w:hyperlink r:id="rId34" w:anchor="Status" w:history="1">
        <w:r w:rsidR="003E240A" w:rsidRPr="003E240A">
          <w:rPr>
            <w:rStyle w:val="Hyperlink"/>
          </w:rPr>
          <w:t>https://mpai.community/standards/mpai-evc/#Status</w:t>
        </w:r>
      </w:hyperlink>
      <w:r w:rsidR="003E240A" w:rsidRPr="003E240A">
        <w:t xml:space="preserve"> </w:t>
      </w:r>
    </w:p>
    <w:p w14:paraId="085BF3E1" w14:textId="053A6A6B" w:rsidR="006C633E" w:rsidRPr="00A50B0E" w:rsidRDefault="006C633E" w:rsidP="006C633E">
      <w:pPr>
        <w:pStyle w:val="ListParagraph"/>
        <w:numPr>
          <w:ilvl w:val="0"/>
          <w:numId w:val="14"/>
        </w:numPr>
        <w:rPr>
          <w:lang w:val="it-IT"/>
        </w:rPr>
      </w:pPr>
      <w:bookmarkStart w:id="58" w:name="_Ref71387552"/>
      <w:bookmarkStart w:id="59" w:name="_Ref71386968"/>
      <w:r w:rsidRPr="00A50B0E">
        <w:rPr>
          <w:lang w:val="it-IT"/>
        </w:rPr>
        <w:t xml:space="preserve">MPAI Application Note #9 - MPAI-CAV, N243; </w:t>
      </w:r>
      <w:hyperlink r:id="rId35" w:anchor="Note" w:history="1">
        <w:r w:rsidRPr="00A50B0E">
          <w:rPr>
            <w:rStyle w:val="Hyperlink"/>
            <w:lang w:val="it-IT"/>
          </w:rPr>
          <w:t>https://mpai.community/standards/mpai-cav/#Note</w:t>
        </w:r>
      </w:hyperlink>
      <w:bookmarkEnd w:id="58"/>
    </w:p>
    <w:p w14:paraId="4AA7B24A" w14:textId="6B126828" w:rsidR="006C633E" w:rsidRDefault="006C633E" w:rsidP="006C633E">
      <w:pPr>
        <w:pStyle w:val="ListParagraph"/>
        <w:numPr>
          <w:ilvl w:val="0"/>
          <w:numId w:val="14"/>
        </w:numPr>
      </w:pPr>
      <w:bookmarkStart w:id="60" w:name="_Ref74169801"/>
      <w:r w:rsidRPr="006C633E">
        <w:t>MPAI-CAV Use Cases and Functional Requirements</w:t>
      </w:r>
      <w:r>
        <w:t xml:space="preserve">, </w:t>
      </w:r>
      <w:r w:rsidRPr="006C633E">
        <w:t>N</w:t>
      </w:r>
      <w:r w:rsidR="00D1768D">
        <w:t>304</w:t>
      </w:r>
      <w:r>
        <w:t xml:space="preserve">; </w:t>
      </w:r>
      <w:hyperlink r:id="rId36" w:anchor="UCFR" w:history="1">
        <w:r w:rsidRPr="007A3F0F">
          <w:rPr>
            <w:rStyle w:val="Hyperlink"/>
          </w:rPr>
          <w:t>https://mpai.community/standards/mpai-cav/#UCFR</w:t>
        </w:r>
      </w:hyperlink>
      <w:bookmarkEnd w:id="60"/>
      <w:r>
        <w:t xml:space="preserve"> </w:t>
      </w:r>
    </w:p>
    <w:p w14:paraId="0858C46C" w14:textId="77777777" w:rsidR="000F2AA8" w:rsidRDefault="000F2AA8" w:rsidP="000F2AA8">
      <w:pPr>
        <w:pStyle w:val="ListParagraph"/>
        <w:numPr>
          <w:ilvl w:val="0"/>
          <w:numId w:val="14"/>
        </w:numPr>
      </w:pPr>
      <w:bookmarkStart w:id="61" w:name="_Ref74169489"/>
      <w:bookmarkStart w:id="62" w:name="_Ref74169827"/>
      <w:r>
        <w:t xml:space="preserve">MPAI Application Note #10 - MPAI-MCS – Mixed Reality Collaborative Spaces, N305; </w:t>
      </w:r>
      <w:hyperlink r:id="rId37" w:anchor="Note" w:history="1">
        <w:r w:rsidRPr="00A37D4B">
          <w:rPr>
            <w:rStyle w:val="Hyperlink"/>
          </w:rPr>
          <w:t>https://mpai.community/standards/mpai-mcs/#Note</w:t>
        </w:r>
      </w:hyperlink>
      <w:bookmarkEnd w:id="61"/>
      <w:r>
        <w:t xml:space="preserve"> </w:t>
      </w:r>
    </w:p>
    <w:p w14:paraId="5C9BDC41" w14:textId="21F534D3" w:rsidR="00C534E8" w:rsidRDefault="007A4ED5" w:rsidP="00C534E8">
      <w:pPr>
        <w:pStyle w:val="ListParagraph"/>
        <w:numPr>
          <w:ilvl w:val="0"/>
          <w:numId w:val="14"/>
        </w:numPr>
      </w:pPr>
      <w:r w:rsidRPr="0076691D">
        <w:t>MPAI Application Note #</w:t>
      </w:r>
      <w:r>
        <w:t>8</w:t>
      </w:r>
      <w:r w:rsidRPr="0076691D">
        <w:t xml:space="preserve"> - MPAI-</w:t>
      </w:r>
      <w:r>
        <w:t>OSD</w:t>
      </w:r>
      <w:r w:rsidR="00C534E8">
        <w:t>, N</w:t>
      </w:r>
      <w:r w:rsidR="00490190">
        <w:t>93</w:t>
      </w:r>
      <w:r w:rsidR="00683505">
        <w:t xml:space="preserve">; </w:t>
      </w:r>
      <w:bookmarkStart w:id="63" w:name="_Hlk71387068"/>
      <w:r w:rsidR="00490190">
        <w:fldChar w:fldCharType="begin"/>
      </w:r>
      <w:r w:rsidR="00490190">
        <w:instrText xml:space="preserve"> HYPERLINK "</w:instrText>
      </w:r>
      <w:r w:rsidR="00490190" w:rsidRPr="00490190">
        <w:instrText>https://mpai.community/standards/mpai-osd/#Note</w:instrText>
      </w:r>
      <w:r w:rsidR="00490190">
        <w:instrText xml:space="preserve">" </w:instrText>
      </w:r>
      <w:r w:rsidR="00490190">
        <w:fldChar w:fldCharType="separate"/>
      </w:r>
      <w:r w:rsidR="00490190" w:rsidRPr="0039299F">
        <w:rPr>
          <w:rStyle w:val="Hyperlink"/>
        </w:rPr>
        <w:t>https://mpai.community/standards/mpai-osd/#Note</w:t>
      </w:r>
      <w:r w:rsidR="00490190">
        <w:fldChar w:fldCharType="end"/>
      </w:r>
      <w:bookmarkEnd w:id="56"/>
      <w:bookmarkEnd w:id="59"/>
      <w:bookmarkEnd w:id="62"/>
      <w:bookmarkEnd w:id="63"/>
      <w:r w:rsidR="00683505">
        <w:t xml:space="preserve"> </w:t>
      </w:r>
    </w:p>
    <w:p w14:paraId="1A90FFEC" w14:textId="68B3BBC8" w:rsidR="00F03528" w:rsidRPr="00B2147F" w:rsidRDefault="00F03528" w:rsidP="00E72905">
      <w:pPr>
        <w:pStyle w:val="ListParagraph"/>
        <w:numPr>
          <w:ilvl w:val="0"/>
          <w:numId w:val="14"/>
        </w:numPr>
      </w:pPr>
      <w:bookmarkStart w:id="64" w:name="_Ref66617459"/>
      <w:bookmarkStart w:id="65" w:name="_Ref71387154"/>
      <w:bookmarkStart w:id="66" w:name="_Ref74169867"/>
      <w:r w:rsidRPr="00F03528">
        <w:t>MPAI Use Case</w:t>
      </w:r>
      <w:r w:rsidR="00AA412C">
        <w:t>s</w:t>
      </w:r>
      <w:r w:rsidRPr="00F03528">
        <w:t xml:space="preserve"> Rev2.0</w:t>
      </w:r>
      <w:r>
        <w:t>, N46</w:t>
      </w:r>
      <w:bookmarkEnd w:id="57"/>
      <w:r w:rsidR="00683505">
        <w:t xml:space="preserve">; </w:t>
      </w:r>
      <w:hyperlink r:id="rId38" w:history="1">
        <w:r w:rsidR="00683505" w:rsidRPr="00FD0AE6">
          <w:rPr>
            <w:rStyle w:val="Hyperlink"/>
          </w:rPr>
          <w:t>https://mpai.community/wp-content/uploads/2020/11/N46-MPAI-Use-Case-Rev2.0.docx</w:t>
        </w:r>
      </w:hyperlink>
      <w:bookmarkEnd w:id="64"/>
      <w:bookmarkEnd w:id="65"/>
      <w:bookmarkEnd w:id="66"/>
      <w:r w:rsidR="00683505">
        <w:t xml:space="preserve"> </w:t>
      </w:r>
      <w:bookmarkEnd w:id="4"/>
    </w:p>
    <w:sectPr w:rsidR="00F03528" w:rsidRPr="00B2147F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054"/>
    <w:multiLevelType w:val="hybridMultilevel"/>
    <w:tmpl w:val="9E4C5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740A1"/>
    <w:multiLevelType w:val="hybridMultilevel"/>
    <w:tmpl w:val="89981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67C5F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33759E6"/>
    <w:multiLevelType w:val="hybridMultilevel"/>
    <w:tmpl w:val="2DD24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C2E59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26B1C"/>
    <w:multiLevelType w:val="hybridMultilevel"/>
    <w:tmpl w:val="CE566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10383"/>
    <w:multiLevelType w:val="hybridMultilevel"/>
    <w:tmpl w:val="D09A5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75CA7"/>
    <w:multiLevelType w:val="hybridMultilevel"/>
    <w:tmpl w:val="79AA0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16358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70F60"/>
    <w:multiLevelType w:val="hybridMultilevel"/>
    <w:tmpl w:val="1550D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C7E15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0860A7E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2467F"/>
    <w:multiLevelType w:val="hybridMultilevel"/>
    <w:tmpl w:val="199E4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861"/>
    <w:multiLevelType w:val="hybridMultilevel"/>
    <w:tmpl w:val="E87C7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AB2927"/>
    <w:multiLevelType w:val="hybridMultilevel"/>
    <w:tmpl w:val="CE566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C4EED"/>
    <w:multiLevelType w:val="hybridMultilevel"/>
    <w:tmpl w:val="2DFEC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4"/>
  </w:num>
  <w:num w:numId="7">
    <w:abstractNumId w:val="8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7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8"/>
    <w:rsid w:val="00002217"/>
    <w:rsid w:val="0001512E"/>
    <w:rsid w:val="00020C69"/>
    <w:rsid w:val="0002499C"/>
    <w:rsid w:val="00030AD0"/>
    <w:rsid w:val="00032A0E"/>
    <w:rsid w:val="000360D3"/>
    <w:rsid w:val="00044374"/>
    <w:rsid w:val="00045D8C"/>
    <w:rsid w:val="00057DA2"/>
    <w:rsid w:val="0006001F"/>
    <w:rsid w:val="00064720"/>
    <w:rsid w:val="00066468"/>
    <w:rsid w:val="000778F8"/>
    <w:rsid w:val="00080DAC"/>
    <w:rsid w:val="00086B37"/>
    <w:rsid w:val="00093F5A"/>
    <w:rsid w:val="0009554D"/>
    <w:rsid w:val="000A0992"/>
    <w:rsid w:val="000B3CA3"/>
    <w:rsid w:val="000C5808"/>
    <w:rsid w:val="000D430D"/>
    <w:rsid w:val="000D58DC"/>
    <w:rsid w:val="000E347D"/>
    <w:rsid w:val="000E5440"/>
    <w:rsid w:val="000E6185"/>
    <w:rsid w:val="000E6AA6"/>
    <w:rsid w:val="000F1C22"/>
    <w:rsid w:val="000F2AA8"/>
    <w:rsid w:val="00104DD9"/>
    <w:rsid w:val="00124211"/>
    <w:rsid w:val="00125F4E"/>
    <w:rsid w:val="001273A5"/>
    <w:rsid w:val="001279D1"/>
    <w:rsid w:val="00127C9F"/>
    <w:rsid w:val="001302B6"/>
    <w:rsid w:val="0013302C"/>
    <w:rsid w:val="001347D5"/>
    <w:rsid w:val="001375E7"/>
    <w:rsid w:val="001426B3"/>
    <w:rsid w:val="00145A6B"/>
    <w:rsid w:val="00146509"/>
    <w:rsid w:val="00147FE2"/>
    <w:rsid w:val="0015021D"/>
    <w:rsid w:val="00150931"/>
    <w:rsid w:val="00151142"/>
    <w:rsid w:val="001676B9"/>
    <w:rsid w:val="00171211"/>
    <w:rsid w:val="0017476B"/>
    <w:rsid w:val="00184896"/>
    <w:rsid w:val="001920B7"/>
    <w:rsid w:val="00197EBA"/>
    <w:rsid w:val="001A13E2"/>
    <w:rsid w:val="001A37B3"/>
    <w:rsid w:val="001A60D5"/>
    <w:rsid w:val="001A77B5"/>
    <w:rsid w:val="001C122D"/>
    <w:rsid w:val="001C2B74"/>
    <w:rsid w:val="001C4CCD"/>
    <w:rsid w:val="001D56A9"/>
    <w:rsid w:val="001E1316"/>
    <w:rsid w:val="001E1BF8"/>
    <w:rsid w:val="001E4B8A"/>
    <w:rsid w:val="001E6EEC"/>
    <w:rsid w:val="001E7B37"/>
    <w:rsid w:val="001F3C5D"/>
    <w:rsid w:val="00221F51"/>
    <w:rsid w:val="00230954"/>
    <w:rsid w:val="00235528"/>
    <w:rsid w:val="002410A7"/>
    <w:rsid w:val="00245B0F"/>
    <w:rsid w:val="002472FE"/>
    <w:rsid w:val="002653A9"/>
    <w:rsid w:val="00272D6B"/>
    <w:rsid w:val="002739A4"/>
    <w:rsid w:val="0027609B"/>
    <w:rsid w:val="002766C2"/>
    <w:rsid w:val="002869A6"/>
    <w:rsid w:val="00286C15"/>
    <w:rsid w:val="0028710D"/>
    <w:rsid w:val="002A25B6"/>
    <w:rsid w:val="002A6BFB"/>
    <w:rsid w:val="002B2FD2"/>
    <w:rsid w:val="002B6E43"/>
    <w:rsid w:val="002B70A0"/>
    <w:rsid w:val="002C7F0F"/>
    <w:rsid w:val="002D3F65"/>
    <w:rsid w:val="002D53ED"/>
    <w:rsid w:val="002D5BA5"/>
    <w:rsid w:val="002D5C5E"/>
    <w:rsid w:val="002D7993"/>
    <w:rsid w:val="002E02B6"/>
    <w:rsid w:val="002F3EEE"/>
    <w:rsid w:val="002F7014"/>
    <w:rsid w:val="003041D6"/>
    <w:rsid w:val="0030631B"/>
    <w:rsid w:val="00317A4B"/>
    <w:rsid w:val="00327760"/>
    <w:rsid w:val="0033190F"/>
    <w:rsid w:val="00342B7A"/>
    <w:rsid w:val="003573DE"/>
    <w:rsid w:val="00365DDA"/>
    <w:rsid w:val="0036721F"/>
    <w:rsid w:val="00373451"/>
    <w:rsid w:val="00385EA4"/>
    <w:rsid w:val="00391E9B"/>
    <w:rsid w:val="00396830"/>
    <w:rsid w:val="003976B4"/>
    <w:rsid w:val="00397D0B"/>
    <w:rsid w:val="003A2D8F"/>
    <w:rsid w:val="003A3207"/>
    <w:rsid w:val="003A4183"/>
    <w:rsid w:val="003A5A37"/>
    <w:rsid w:val="003B77CD"/>
    <w:rsid w:val="003C0AEC"/>
    <w:rsid w:val="003C2BAB"/>
    <w:rsid w:val="003C2FC4"/>
    <w:rsid w:val="003C7AB6"/>
    <w:rsid w:val="003D0E99"/>
    <w:rsid w:val="003D2DDB"/>
    <w:rsid w:val="003E1E52"/>
    <w:rsid w:val="003E240A"/>
    <w:rsid w:val="003F6E4A"/>
    <w:rsid w:val="00400239"/>
    <w:rsid w:val="00406247"/>
    <w:rsid w:val="004070C3"/>
    <w:rsid w:val="0040751A"/>
    <w:rsid w:val="0041116D"/>
    <w:rsid w:val="00417D47"/>
    <w:rsid w:val="00422044"/>
    <w:rsid w:val="00425379"/>
    <w:rsid w:val="00426E8E"/>
    <w:rsid w:val="004345AE"/>
    <w:rsid w:val="00434ADB"/>
    <w:rsid w:val="004368A8"/>
    <w:rsid w:val="00441368"/>
    <w:rsid w:val="004572AD"/>
    <w:rsid w:val="00457DC6"/>
    <w:rsid w:val="00462D9A"/>
    <w:rsid w:val="0046449E"/>
    <w:rsid w:val="00464755"/>
    <w:rsid w:val="00467971"/>
    <w:rsid w:val="0047210E"/>
    <w:rsid w:val="00474501"/>
    <w:rsid w:val="00475409"/>
    <w:rsid w:val="00477248"/>
    <w:rsid w:val="004877A2"/>
    <w:rsid w:val="00490190"/>
    <w:rsid w:val="00496C68"/>
    <w:rsid w:val="004A44EF"/>
    <w:rsid w:val="004A5585"/>
    <w:rsid w:val="004C1011"/>
    <w:rsid w:val="004D2FF8"/>
    <w:rsid w:val="004D4F80"/>
    <w:rsid w:val="004E0C82"/>
    <w:rsid w:val="004E1E01"/>
    <w:rsid w:val="004E5FB5"/>
    <w:rsid w:val="004F0ACC"/>
    <w:rsid w:val="004F4D21"/>
    <w:rsid w:val="004F593C"/>
    <w:rsid w:val="004F654C"/>
    <w:rsid w:val="00500386"/>
    <w:rsid w:val="00504122"/>
    <w:rsid w:val="005132BF"/>
    <w:rsid w:val="00516F9C"/>
    <w:rsid w:val="0052046C"/>
    <w:rsid w:val="0052544E"/>
    <w:rsid w:val="00527788"/>
    <w:rsid w:val="0054391B"/>
    <w:rsid w:val="0055015D"/>
    <w:rsid w:val="0055221B"/>
    <w:rsid w:val="005565BE"/>
    <w:rsid w:val="00557EDB"/>
    <w:rsid w:val="00560A44"/>
    <w:rsid w:val="005658FE"/>
    <w:rsid w:val="00573821"/>
    <w:rsid w:val="00574298"/>
    <w:rsid w:val="005769BD"/>
    <w:rsid w:val="00585F50"/>
    <w:rsid w:val="00586340"/>
    <w:rsid w:val="00597110"/>
    <w:rsid w:val="005A05C0"/>
    <w:rsid w:val="005A1575"/>
    <w:rsid w:val="005A2449"/>
    <w:rsid w:val="005A7666"/>
    <w:rsid w:val="005B0DB3"/>
    <w:rsid w:val="005B6668"/>
    <w:rsid w:val="005B7CBC"/>
    <w:rsid w:val="005C006A"/>
    <w:rsid w:val="005C42D8"/>
    <w:rsid w:val="005C6849"/>
    <w:rsid w:val="005C6B42"/>
    <w:rsid w:val="005D1A6F"/>
    <w:rsid w:val="005D561E"/>
    <w:rsid w:val="005E070F"/>
    <w:rsid w:val="005E1400"/>
    <w:rsid w:val="005E56B5"/>
    <w:rsid w:val="005F136C"/>
    <w:rsid w:val="005F1DE2"/>
    <w:rsid w:val="005F3CC5"/>
    <w:rsid w:val="005F7CA2"/>
    <w:rsid w:val="0060019F"/>
    <w:rsid w:val="00600366"/>
    <w:rsid w:val="006074A9"/>
    <w:rsid w:val="00625A92"/>
    <w:rsid w:val="006323E5"/>
    <w:rsid w:val="00632565"/>
    <w:rsid w:val="0063664B"/>
    <w:rsid w:val="00640E28"/>
    <w:rsid w:val="00643BD9"/>
    <w:rsid w:val="00650C9A"/>
    <w:rsid w:val="0065175D"/>
    <w:rsid w:val="0066072B"/>
    <w:rsid w:val="00660793"/>
    <w:rsid w:val="00683505"/>
    <w:rsid w:val="00685762"/>
    <w:rsid w:val="00686EE6"/>
    <w:rsid w:val="00694761"/>
    <w:rsid w:val="006A019E"/>
    <w:rsid w:val="006A5023"/>
    <w:rsid w:val="006B2D08"/>
    <w:rsid w:val="006B39B4"/>
    <w:rsid w:val="006B6380"/>
    <w:rsid w:val="006C633E"/>
    <w:rsid w:val="006D4315"/>
    <w:rsid w:val="006D5C63"/>
    <w:rsid w:val="006E0377"/>
    <w:rsid w:val="006E2AB0"/>
    <w:rsid w:val="006E2D0D"/>
    <w:rsid w:val="006E3EF3"/>
    <w:rsid w:val="006E58FE"/>
    <w:rsid w:val="006F0785"/>
    <w:rsid w:val="006F16CF"/>
    <w:rsid w:val="006F40EB"/>
    <w:rsid w:val="00712AB2"/>
    <w:rsid w:val="00715DF2"/>
    <w:rsid w:val="007212F6"/>
    <w:rsid w:val="00721549"/>
    <w:rsid w:val="00727E5A"/>
    <w:rsid w:val="007320EA"/>
    <w:rsid w:val="0074220F"/>
    <w:rsid w:val="00750503"/>
    <w:rsid w:val="0076691D"/>
    <w:rsid w:val="00770292"/>
    <w:rsid w:val="00776548"/>
    <w:rsid w:val="0079039A"/>
    <w:rsid w:val="007969F6"/>
    <w:rsid w:val="007A24C5"/>
    <w:rsid w:val="007A4ED5"/>
    <w:rsid w:val="007A60B4"/>
    <w:rsid w:val="007A6C93"/>
    <w:rsid w:val="007A73EB"/>
    <w:rsid w:val="007B265B"/>
    <w:rsid w:val="007B7543"/>
    <w:rsid w:val="007C2FE6"/>
    <w:rsid w:val="007E1109"/>
    <w:rsid w:val="007E1CAC"/>
    <w:rsid w:val="007E297A"/>
    <w:rsid w:val="007E4601"/>
    <w:rsid w:val="007F2E7F"/>
    <w:rsid w:val="007F3FEE"/>
    <w:rsid w:val="007F5148"/>
    <w:rsid w:val="007F6CFB"/>
    <w:rsid w:val="007F7901"/>
    <w:rsid w:val="00805F0B"/>
    <w:rsid w:val="00813221"/>
    <w:rsid w:val="008148D6"/>
    <w:rsid w:val="0081555E"/>
    <w:rsid w:val="008177EE"/>
    <w:rsid w:val="008312FD"/>
    <w:rsid w:val="008326A6"/>
    <w:rsid w:val="008362E7"/>
    <w:rsid w:val="0084158B"/>
    <w:rsid w:val="00841698"/>
    <w:rsid w:val="00856680"/>
    <w:rsid w:val="00860B93"/>
    <w:rsid w:val="0086455B"/>
    <w:rsid w:val="00865788"/>
    <w:rsid w:val="00875139"/>
    <w:rsid w:val="008757DF"/>
    <w:rsid w:val="00887E3F"/>
    <w:rsid w:val="00890469"/>
    <w:rsid w:val="00892954"/>
    <w:rsid w:val="008B4822"/>
    <w:rsid w:val="008B4AA9"/>
    <w:rsid w:val="008B553A"/>
    <w:rsid w:val="008B553E"/>
    <w:rsid w:val="008B6F2C"/>
    <w:rsid w:val="008C4C02"/>
    <w:rsid w:val="008C4F77"/>
    <w:rsid w:val="008D3961"/>
    <w:rsid w:val="008D63C4"/>
    <w:rsid w:val="008D6636"/>
    <w:rsid w:val="008E2AD5"/>
    <w:rsid w:val="008E3896"/>
    <w:rsid w:val="008E7E59"/>
    <w:rsid w:val="008F01B4"/>
    <w:rsid w:val="008F3624"/>
    <w:rsid w:val="00903750"/>
    <w:rsid w:val="00911052"/>
    <w:rsid w:val="00913690"/>
    <w:rsid w:val="009156C9"/>
    <w:rsid w:val="00915EE0"/>
    <w:rsid w:val="0091630B"/>
    <w:rsid w:val="009264CB"/>
    <w:rsid w:val="00930E4F"/>
    <w:rsid w:val="00930EF2"/>
    <w:rsid w:val="009315F3"/>
    <w:rsid w:val="00937076"/>
    <w:rsid w:val="00942FA1"/>
    <w:rsid w:val="009430B1"/>
    <w:rsid w:val="009438F9"/>
    <w:rsid w:val="009500D4"/>
    <w:rsid w:val="009502E5"/>
    <w:rsid w:val="00951E3B"/>
    <w:rsid w:val="00964C27"/>
    <w:rsid w:val="00972379"/>
    <w:rsid w:val="009725D7"/>
    <w:rsid w:val="00976358"/>
    <w:rsid w:val="0097742E"/>
    <w:rsid w:val="0098031F"/>
    <w:rsid w:val="00982525"/>
    <w:rsid w:val="00987C93"/>
    <w:rsid w:val="0099638F"/>
    <w:rsid w:val="00996ED4"/>
    <w:rsid w:val="009A6B7C"/>
    <w:rsid w:val="009A7EF7"/>
    <w:rsid w:val="009B4C08"/>
    <w:rsid w:val="009B7467"/>
    <w:rsid w:val="009C2439"/>
    <w:rsid w:val="009C3B82"/>
    <w:rsid w:val="009D0066"/>
    <w:rsid w:val="009D2F2A"/>
    <w:rsid w:val="009D67CD"/>
    <w:rsid w:val="009E5C91"/>
    <w:rsid w:val="009F31DD"/>
    <w:rsid w:val="009F559E"/>
    <w:rsid w:val="00A016BC"/>
    <w:rsid w:val="00A147C7"/>
    <w:rsid w:val="00A16FD7"/>
    <w:rsid w:val="00A20032"/>
    <w:rsid w:val="00A235C9"/>
    <w:rsid w:val="00A24380"/>
    <w:rsid w:val="00A267A7"/>
    <w:rsid w:val="00A34BE0"/>
    <w:rsid w:val="00A42274"/>
    <w:rsid w:val="00A424BC"/>
    <w:rsid w:val="00A431D9"/>
    <w:rsid w:val="00A464AB"/>
    <w:rsid w:val="00A50B0E"/>
    <w:rsid w:val="00A541E4"/>
    <w:rsid w:val="00A56E05"/>
    <w:rsid w:val="00A83390"/>
    <w:rsid w:val="00A84784"/>
    <w:rsid w:val="00A877C5"/>
    <w:rsid w:val="00A9007A"/>
    <w:rsid w:val="00A92DEB"/>
    <w:rsid w:val="00A948E4"/>
    <w:rsid w:val="00A9709D"/>
    <w:rsid w:val="00A97C60"/>
    <w:rsid w:val="00AA412C"/>
    <w:rsid w:val="00AA654D"/>
    <w:rsid w:val="00AA7246"/>
    <w:rsid w:val="00AB0A71"/>
    <w:rsid w:val="00AB2FC7"/>
    <w:rsid w:val="00AC2D30"/>
    <w:rsid w:val="00AD3156"/>
    <w:rsid w:val="00AD503D"/>
    <w:rsid w:val="00AE175E"/>
    <w:rsid w:val="00AE5BF6"/>
    <w:rsid w:val="00AE7428"/>
    <w:rsid w:val="00B07346"/>
    <w:rsid w:val="00B12E14"/>
    <w:rsid w:val="00B2147F"/>
    <w:rsid w:val="00B21D03"/>
    <w:rsid w:val="00B21FC6"/>
    <w:rsid w:val="00B22D13"/>
    <w:rsid w:val="00B2421C"/>
    <w:rsid w:val="00B258CB"/>
    <w:rsid w:val="00B45CC1"/>
    <w:rsid w:val="00B514B8"/>
    <w:rsid w:val="00B51B5E"/>
    <w:rsid w:val="00B62CD2"/>
    <w:rsid w:val="00B72387"/>
    <w:rsid w:val="00B81E8E"/>
    <w:rsid w:val="00B85E63"/>
    <w:rsid w:val="00BA1FCD"/>
    <w:rsid w:val="00BA41C6"/>
    <w:rsid w:val="00BB53D3"/>
    <w:rsid w:val="00BB7651"/>
    <w:rsid w:val="00BC6A1B"/>
    <w:rsid w:val="00BD1631"/>
    <w:rsid w:val="00BD4E34"/>
    <w:rsid w:val="00BE4D4B"/>
    <w:rsid w:val="00BE7CE1"/>
    <w:rsid w:val="00C00A61"/>
    <w:rsid w:val="00C05646"/>
    <w:rsid w:val="00C0706C"/>
    <w:rsid w:val="00C10A59"/>
    <w:rsid w:val="00C117CF"/>
    <w:rsid w:val="00C16A97"/>
    <w:rsid w:val="00C3099A"/>
    <w:rsid w:val="00C35F3A"/>
    <w:rsid w:val="00C36503"/>
    <w:rsid w:val="00C433F5"/>
    <w:rsid w:val="00C50D88"/>
    <w:rsid w:val="00C530BD"/>
    <w:rsid w:val="00C534E8"/>
    <w:rsid w:val="00C666E8"/>
    <w:rsid w:val="00C755D4"/>
    <w:rsid w:val="00C81B9E"/>
    <w:rsid w:val="00C81CC3"/>
    <w:rsid w:val="00C930D9"/>
    <w:rsid w:val="00C971E5"/>
    <w:rsid w:val="00CA1BC4"/>
    <w:rsid w:val="00CA478B"/>
    <w:rsid w:val="00CA66EB"/>
    <w:rsid w:val="00CC033D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E542D"/>
    <w:rsid w:val="00CF0924"/>
    <w:rsid w:val="00CF25B8"/>
    <w:rsid w:val="00CF3FD2"/>
    <w:rsid w:val="00D15E90"/>
    <w:rsid w:val="00D15EFB"/>
    <w:rsid w:val="00D1768D"/>
    <w:rsid w:val="00D20036"/>
    <w:rsid w:val="00D22C70"/>
    <w:rsid w:val="00D32B9C"/>
    <w:rsid w:val="00D41817"/>
    <w:rsid w:val="00D43FDD"/>
    <w:rsid w:val="00D56DCD"/>
    <w:rsid w:val="00D6054D"/>
    <w:rsid w:val="00D63663"/>
    <w:rsid w:val="00D664D3"/>
    <w:rsid w:val="00D66D9A"/>
    <w:rsid w:val="00D727A9"/>
    <w:rsid w:val="00D74322"/>
    <w:rsid w:val="00D75CDE"/>
    <w:rsid w:val="00D80D33"/>
    <w:rsid w:val="00D8294D"/>
    <w:rsid w:val="00D85A44"/>
    <w:rsid w:val="00D86D01"/>
    <w:rsid w:val="00DA0A51"/>
    <w:rsid w:val="00DB3208"/>
    <w:rsid w:val="00DB4510"/>
    <w:rsid w:val="00DC742A"/>
    <w:rsid w:val="00DC7747"/>
    <w:rsid w:val="00DD00EE"/>
    <w:rsid w:val="00DE55A1"/>
    <w:rsid w:val="00DE663F"/>
    <w:rsid w:val="00DF1E3F"/>
    <w:rsid w:val="00DF4365"/>
    <w:rsid w:val="00E06288"/>
    <w:rsid w:val="00E07DA9"/>
    <w:rsid w:val="00E4182D"/>
    <w:rsid w:val="00E44084"/>
    <w:rsid w:val="00E547DE"/>
    <w:rsid w:val="00E80587"/>
    <w:rsid w:val="00E82434"/>
    <w:rsid w:val="00E86C64"/>
    <w:rsid w:val="00E86C83"/>
    <w:rsid w:val="00E90211"/>
    <w:rsid w:val="00E92D8D"/>
    <w:rsid w:val="00E973CB"/>
    <w:rsid w:val="00EA05B9"/>
    <w:rsid w:val="00EA083B"/>
    <w:rsid w:val="00EA5591"/>
    <w:rsid w:val="00EB081E"/>
    <w:rsid w:val="00EB3086"/>
    <w:rsid w:val="00EC15F4"/>
    <w:rsid w:val="00EE1AE6"/>
    <w:rsid w:val="00EE5D37"/>
    <w:rsid w:val="00EE7A50"/>
    <w:rsid w:val="00EF0CB1"/>
    <w:rsid w:val="00EF2BBA"/>
    <w:rsid w:val="00EF5675"/>
    <w:rsid w:val="00F00D66"/>
    <w:rsid w:val="00F017EB"/>
    <w:rsid w:val="00F03528"/>
    <w:rsid w:val="00F0439A"/>
    <w:rsid w:val="00F06FB8"/>
    <w:rsid w:val="00F22337"/>
    <w:rsid w:val="00F228A4"/>
    <w:rsid w:val="00F25D23"/>
    <w:rsid w:val="00F33B32"/>
    <w:rsid w:val="00F349D0"/>
    <w:rsid w:val="00F34DAF"/>
    <w:rsid w:val="00F43217"/>
    <w:rsid w:val="00F44EB3"/>
    <w:rsid w:val="00F523A1"/>
    <w:rsid w:val="00F566DF"/>
    <w:rsid w:val="00F601D2"/>
    <w:rsid w:val="00F60B90"/>
    <w:rsid w:val="00F6422A"/>
    <w:rsid w:val="00F67C2C"/>
    <w:rsid w:val="00F7024F"/>
    <w:rsid w:val="00F74B6D"/>
    <w:rsid w:val="00F74C9A"/>
    <w:rsid w:val="00F753C6"/>
    <w:rsid w:val="00F80E92"/>
    <w:rsid w:val="00F82DD1"/>
    <w:rsid w:val="00F92976"/>
    <w:rsid w:val="00F94851"/>
    <w:rsid w:val="00FA247C"/>
    <w:rsid w:val="00FA2BA0"/>
    <w:rsid w:val="00FA47BB"/>
    <w:rsid w:val="00FC4763"/>
    <w:rsid w:val="00FC4D2F"/>
    <w:rsid w:val="00FF1D8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E379"/>
  <w15:chartTrackingRefBased/>
  <w15:docId w15:val="{8875A4AF-A029-466A-817D-E856626D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link w:val="ListParagraph"/>
    <w:uiPriority w:val="34"/>
    <w:locked/>
    <w:rsid w:val="00712AB2"/>
    <w:rPr>
      <w:rFonts w:eastAsia="Calibri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D86D01"/>
    <w:pPr>
      <w:tabs>
        <w:tab w:val="left" w:pos="567"/>
        <w:tab w:val="left" w:pos="1134"/>
        <w:tab w:val="left" w:pos="1701"/>
        <w:tab w:val="center" w:pos="4706"/>
        <w:tab w:val="right" w:pos="9412"/>
      </w:tabs>
      <w:spacing w:before="100" w:after="100"/>
      <w:ind w:left="567" w:right="567"/>
      <w:jc w:val="center"/>
    </w:pPr>
    <w:rPr>
      <w:rFonts w:eastAsia="Times New Roman"/>
      <w:b/>
      <w:sz w:val="20"/>
      <w:szCs w:val="20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75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mpai.community/standards/mpai-aif/" TargetMode="External"/><Relationship Id="rId26" Type="http://schemas.openxmlformats.org/officeDocument/2006/relationships/hyperlink" Target="https://mpai.community/standards/mpai-cu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pai.community/standards/mpai-cae/" TargetMode="External"/><Relationship Id="rId34" Type="http://schemas.openxmlformats.org/officeDocument/2006/relationships/hyperlink" Target="https://mpai.community/standards/mpai-evc/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mpai.community/standards/mpai-mmc/" TargetMode="External"/><Relationship Id="rId33" Type="http://schemas.openxmlformats.org/officeDocument/2006/relationships/hyperlink" Target="https://mpai.community/wp-content/uploads/2020/11/N70-Operational-Guidelines-for-MPAI-EVC-Evidence-Project.docx" TargetMode="External"/><Relationship Id="rId38" Type="http://schemas.openxmlformats.org/officeDocument/2006/relationships/hyperlink" Target="https://mpai.community/wp-content/uploads/2020/11/N46-MPAI-Use-Case-Rev2.0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mpai.community/standards/mpai-cae/" TargetMode="External"/><Relationship Id="rId29" Type="http://schemas.openxmlformats.org/officeDocument/2006/relationships/hyperlink" Target="https://mpai.community/standards/mpai-gs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mpai.community/standards/mpai-mmc/" TargetMode="External"/><Relationship Id="rId32" Type="http://schemas.openxmlformats.org/officeDocument/2006/relationships/hyperlink" Target="https://mpai.community/wp-content/uploads/2020/11/Collaborative-Evidence-Conditions-for-MPAI-EVC-Evidence-Project-R1.docx" TargetMode="External"/><Relationship Id="rId37" Type="http://schemas.openxmlformats.org/officeDocument/2006/relationships/hyperlink" Target="https://mpai.community/standards/mpai-mc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mpai.community/standards/mpai-mmc/" TargetMode="External"/><Relationship Id="rId28" Type="http://schemas.openxmlformats.org/officeDocument/2006/relationships/hyperlink" Target="https://mpai.community/standards/mpai-cae/" TargetMode="External"/><Relationship Id="rId36" Type="http://schemas.openxmlformats.org/officeDocument/2006/relationships/hyperlink" Target="https://mpai.community/standards/mpai-cav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pai.community/standards/mpai-aif/" TargetMode="External"/><Relationship Id="rId31" Type="http://schemas.openxmlformats.org/officeDocument/2006/relationships/hyperlink" Target="https://mpai.community/standards/mpai-ev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mpai.community/standards/mpai-cae/" TargetMode="External"/><Relationship Id="rId27" Type="http://schemas.openxmlformats.org/officeDocument/2006/relationships/hyperlink" Target="https://mpai.community/standards/mpai-mmc/" TargetMode="External"/><Relationship Id="rId30" Type="http://schemas.openxmlformats.org/officeDocument/2006/relationships/hyperlink" Target="https://mpai.community/standards/mpai-evc/" TargetMode="External"/><Relationship Id="rId35" Type="http://schemas.openxmlformats.org/officeDocument/2006/relationships/hyperlink" Target="https://mpai.community/standards/mpai-ca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181</TotalTime>
  <Pages>9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41</cp:revision>
  <dcterms:created xsi:type="dcterms:W3CDTF">2021-04-06T14:16:00Z</dcterms:created>
  <dcterms:modified xsi:type="dcterms:W3CDTF">2021-07-19T20:12:00Z</dcterms:modified>
</cp:coreProperties>
</file>