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2C3B215E" w14:textId="77777777" w:rsidTr="00AA412C">
        <w:tc>
          <w:tcPr>
            <w:tcW w:w="3358" w:type="dxa"/>
          </w:tcPr>
          <w:p w14:paraId="173F9406" w14:textId="77777777" w:rsidR="003D2DDB" w:rsidRDefault="00CC3A91" w:rsidP="000D430D">
            <w:r>
              <w:object w:dxaOrig="9950" w:dyaOrig="3900" w14:anchorId="60A75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7pt;height:56.65pt" o:ole="">
                  <v:imagedata r:id="rId6" o:title=""/>
                </v:shape>
                <o:OLEObject Type="Embed" ProgID="PBrush" ShapeID="_x0000_i1025" DrawAspect="Content" ObjectID="_1694506208" r:id="rId7"/>
              </w:object>
            </w:r>
          </w:p>
        </w:tc>
        <w:tc>
          <w:tcPr>
            <w:tcW w:w="5997" w:type="dxa"/>
            <w:vAlign w:val="center"/>
          </w:tcPr>
          <w:p w14:paraId="7D1E5722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1001B2F5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737BEE1C" w14:textId="77777777" w:rsidR="003D2DDB" w:rsidRDefault="003D2DDB" w:rsidP="007F2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8398"/>
      </w:tblGrid>
      <w:tr w:rsidR="006A5023" w14:paraId="5C09D55B" w14:textId="77777777" w:rsidTr="00151142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11EDE" w14:textId="6FCF2F2D" w:rsidR="006A5023" w:rsidRPr="006A5023" w:rsidRDefault="006A5023" w:rsidP="006A5023">
            <w:pPr>
              <w:jc w:val="center"/>
              <w:rPr>
                <w:b/>
                <w:bCs/>
              </w:rPr>
            </w:pPr>
            <w:r w:rsidRPr="006A5023">
              <w:rPr>
                <w:b/>
                <w:bCs/>
                <w:sz w:val="28"/>
                <w:szCs w:val="28"/>
              </w:rPr>
              <w:t>Public document</w:t>
            </w:r>
          </w:p>
        </w:tc>
      </w:tr>
      <w:tr w:rsidR="00B81E8E" w14:paraId="4AC11787" w14:textId="77777777" w:rsidTr="006A502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46A95A4" w14:textId="424EC986" w:rsidR="00B81E8E" w:rsidRPr="00AD503D" w:rsidRDefault="00BB7651" w:rsidP="009F31DD">
            <w:pPr>
              <w:jc w:val="right"/>
              <w:rPr>
                <w:b/>
                <w:bCs/>
              </w:rPr>
            </w:pPr>
            <w:r w:rsidRPr="00AD503D">
              <w:rPr>
                <w:b/>
                <w:bCs/>
              </w:rPr>
              <w:t>N</w:t>
            </w:r>
            <w:r w:rsidR="006A1629">
              <w:rPr>
                <w:b/>
                <w:bCs/>
              </w:rPr>
              <w:t>3</w:t>
            </w:r>
            <w:r w:rsidR="00E30267">
              <w:rPr>
                <w:b/>
                <w:bCs/>
              </w:rPr>
              <w:t>53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7FB9CF4" w14:textId="4206ECE4" w:rsidR="00B81E8E" w:rsidRDefault="000D430D" w:rsidP="00B81E8E">
            <w:pPr>
              <w:jc w:val="right"/>
            </w:pPr>
            <w:r>
              <w:t>202</w:t>
            </w:r>
            <w:r w:rsidR="00E86C64">
              <w:t>1</w:t>
            </w:r>
            <w:r w:rsidR="00B81E8E">
              <w:t>/</w:t>
            </w:r>
            <w:r w:rsidR="00E86C64">
              <w:t>0</w:t>
            </w:r>
            <w:r w:rsidR="00E30267">
              <w:t>9</w:t>
            </w:r>
            <w:r w:rsidR="00B81E8E">
              <w:t>/</w:t>
            </w:r>
            <w:r w:rsidR="00E30267">
              <w:t>30</w:t>
            </w:r>
          </w:p>
        </w:tc>
      </w:tr>
      <w:tr w:rsidR="003D2DDB" w14:paraId="1F1026EB" w14:textId="77777777" w:rsidTr="006A502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B07C8B" w14:textId="77777777" w:rsidR="003D2DDB" w:rsidRPr="00AD503D" w:rsidRDefault="003D2DDB" w:rsidP="007F2E7F">
            <w:pPr>
              <w:rPr>
                <w:b/>
                <w:bCs/>
              </w:rPr>
            </w:pPr>
            <w:r w:rsidRPr="00AD503D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49A6CCEB" w14:textId="64DE53A3" w:rsidR="003D2DDB" w:rsidRDefault="00712AB2" w:rsidP="007F2E7F">
            <w:r>
              <w:t xml:space="preserve">General Assembly </w:t>
            </w:r>
            <w:r w:rsidR="004877A2">
              <w:t>#</w:t>
            </w:r>
            <w:r w:rsidR="00A50B0E">
              <w:t>1</w:t>
            </w:r>
            <w:r w:rsidR="00E30267">
              <w:t>2</w:t>
            </w:r>
            <w:r w:rsidR="004877A2">
              <w:t xml:space="preserve"> </w:t>
            </w:r>
            <w:r>
              <w:t>(</w:t>
            </w:r>
            <w:r w:rsidR="00BB7651">
              <w:t>MPAI-</w:t>
            </w:r>
            <w:r w:rsidR="00A50B0E">
              <w:t>1</w:t>
            </w:r>
            <w:r w:rsidR="00E30267">
              <w:t>2</w:t>
            </w:r>
            <w:r>
              <w:t>)</w:t>
            </w:r>
          </w:p>
        </w:tc>
      </w:tr>
      <w:tr w:rsidR="003D2DDB" w14:paraId="4B47FC9F" w14:textId="77777777" w:rsidTr="006A502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9B1CD27" w14:textId="77777777" w:rsidR="003D2DDB" w:rsidRPr="00AD503D" w:rsidRDefault="00B81E8E" w:rsidP="007F2E7F">
            <w:pPr>
              <w:rPr>
                <w:b/>
                <w:bCs/>
              </w:rPr>
            </w:pPr>
            <w:r w:rsidRPr="00AD503D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45182B75" w14:textId="40CDC566" w:rsidR="003D2DDB" w:rsidRDefault="00496C68" w:rsidP="007F2E7F">
            <w:r>
              <w:t xml:space="preserve">MPAI workplan </w:t>
            </w:r>
          </w:p>
        </w:tc>
      </w:tr>
      <w:tr w:rsidR="003D2DDB" w14:paraId="7B62458B" w14:textId="77777777" w:rsidTr="006A502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3B346CA" w14:textId="77777777" w:rsidR="003D2DDB" w:rsidRPr="00AD503D" w:rsidRDefault="00B81E8E" w:rsidP="007F2E7F">
            <w:pPr>
              <w:rPr>
                <w:b/>
                <w:bCs/>
              </w:rPr>
            </w:pPr>
            <w:r w:rsidRPr="00AD503D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FAF83DB" w14:textId="142F20B4" w:rsidR="003D2DDB" w:rsidRDefault="00E30267" w:rsidP="007F2E7F">
            <w:r>
              <w:t>MPAI Community</w:t>
            </w:r>
          </w:p>
        </w:tc>
      </w:tr>
    </w:tbl>
    <w:p w14:paraId="671CAAFF" w14:textId="51D8D420" w:rsidR="00496C68" w:rsidRDefault="00496C68" w:rsidP="007F2E7F"/>
    <w:p w14:paraId="6FDF8ED7" w14:textId="2B73815D" w:rsidR="00EE5D37" w:rsidRDefault="00EE5D37" w:rsidP="00EE5D37">
      <w:pPr>
        <w:pStyle w:val="Heading1"/>
      </w:pPr>
      <w:r>
        <w:t>Introduction</w:t>
      </w:r>
    </w:p>
    <w:p w14:paraId="085BB92C" w14:textId="410F4C01" w:rsidR="00496C68" w:rsidRDefault="00496C68" w:rsidP="00496C68">
      <w:r>
        <w:t>MPAI</w:t>
      </w:r>
      <w:r w:rsidR="00694761">
        <w:t>’s</w:t>
      </w:r>
      <w:r>
        <w:t xml:space="preserve"> </w:t>
      </w:r>
      <w:r w:rsidR="00694761">
        <w:t xml:space="preserve">standards </w:t>
      </w:r>
      <w:r>
        <w:t>develop</w:t>
      </w:r>
      <w:r w:rsidR="00694761">
        <w:t xml:space="preserve">ment is based on projects evolving through </w:t>
      </w:r>
      <w:r w:rsidR="00BB7651">
        <w:t xml:space="preserve">a </w:t>
      </w:r>
      <w:r w:rsidR="00694761">
        <w:t xml:space="preserve">workflow extending on </w:t>
      </w:r>
      <w:r w:rsidR="00EE5D37">
        <w:t>6</w:t>
      </w:r>
      <w:r w:rsidR="00694761">
        <w:t xml:space="preserve"> + 1 </w:t>
      </w:r>
      <w:r w:rsidR="00EE5D37">
        <w:t>stage</w:t>
      </w:r>
      <w:r w:rsidR="00694761">
        <w:t>s.</w:t>
      </w:r>
      <w:r w:rsidR="00EE5D37">
        <w:t xml:space="preserve"> </w:t>
      </w:r>
    </w:p>
    <w:p w14:paraId="08EE46C9" w14:textId="77777777" w:rsidR="00496C68" w:rsidRDefault="00496C68" w:rsidP="00496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603"/>
        <w:gridCol w:w="1894"/>
        <w:gridCol w:w="6512"/>
      </w:tblGrid>
      <w:tr w:rsidR="00D86D01" w:rsidRPr="00F465D8" w14:paraId="45B59FC2" w14:textId="77777777" w:rsidTr="00DF4365">
        <w:tc>
          <w:tcPr>
            <w:tcW w:w="0" w:type="auto"/>
          </w:tcPr>
          <w:p w14:paraId="65BEB2C6" w14:textId="48653114" w:rsidR="00D86D01" w:rsidRPr="00F465D8" w:rsidRDefault="00D86D01" w:rsidP="00DB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7AF36C68" w14:textId="3D57A0C0" w:rsidR="00D86D01" w:rsidRPr="00F465D8" w:rsidRDefault="00D86D01" w:rsidP="00DB4510">
            <w:pPr>
              <w:jc w:val="center"/>
              <w:rPr>
                <w:b/>
                <w:bCs/>
              </w:rPr>
            </w:pPr>
            <w:r w:rsidRPr="00F465D8">
              <w:rPr>
                <w:b/>
                <w:bCs/>
              </w:rPr>
              <w:t>Acr</w:t>
            </w:r>
          </w:p>
        </w:tc>
        <w:tc>
          <w:tcPr>
            <w:tcW w:w="1894" w:type="dxa"/>
          </w:tcPr>
          <w:p w14:paraId="6792CF22" w14:textId="77777777" w:rsidR="00D86D01" w:rsidRPr="00F465D8" w:rsidRDefault="00D86D01" w:rsidP="00DB4510">
            <w:pPr>
              <w:jc w:val="center"/>
              <w:rPr>
                <w:b/>
                <w:bCs/>
              </w:rPr>
            </w:pPr>
            <w:r w:rsidRPr="00F465D8">
              <w:rPr>
                <w:b/>
                <w:bCs/>
              </w:rPr>
              <w:t>Name</w:t>
            </w:r>
          </w:p>
        </w:tc>
        <w:tc>
          <w:tcPr>
            <w:tcW w:w="6512" w:type="dxa"/>
          </w:tcPr>
          <w:p w14:paraId="06214736" w14:textId="77777777" w:rsidR="00D86D01" w:rsidRPr="00F465D8" w:rsidRDefault="00D86D01" w:rsidP="004877A2">
            <w:pPr>
              <w:jc w:val="center"/>
              <w:rPr>
                <w:b/>
                <w:bCs/>
              </w:rPr>
            </w:pPr>
            <w:r w:rsidRPr="00F465D8">
              <w:rPr>
                <w:b/>
                <w:bCs/>
              </w:rPr>
              <w:t>Description</w:t>
            </w:r>
          </w:p>
        </w:tc>
      </w:tr>
      <w:tr w:rsidR="00066468" w:rsidRPr="00F465D8" w14:paraId="19131FB3" w14:textId="77777777" w:rsidTr="00DF4365">
        <w:tc>
          <w:tcPr>
            <w:tcW w:w="0" w:type="auto"/>
          </w:tcPr>
          <w:p w14:paraId="034F80B3" w14:textId="0DB3E3A8" w:rsidR="00066468" w:rsidRDefault="00066468" w:rsidP="00DB4510">
            <w:r>
              <w:t>0</w:t>
            </w:r>
          </w:p>
        </w:tc>
        <w:tc>
          <w:tcPr>
            <w:tcW w:w="0" w:type="auto"/>
          </w:tcPr>
          <w:p w14:paraId="1C09138B" w14:textId="05FF5C01" w:rsidR="00066468" w:rsidRPr="00F465D8" w:rsidRDefault="00066468" w:rsidP="00DB4510">
            <w:r>
              <w:t>IC</w:t>
            </w:r>
          </w:p>
        </w:tc>
        <w:tc>
          <w:tcPr>
            <w:tcW w:w="1894" w:type="dxa"/>
          </w:tcPr>
          <w:p w14:paraId="233F7E09" w14:textId="7A3F9318" w:rsidR="00066468" w:rsidRPr="00F465D8" w:rsidRDefault="00066468" w:rsidP="00DB4510">
            <w:r>
              <w:t>Interest Collection</w:t>
            </w:r>
          </w:p>
        </w:tc>
        <w:tc>
          <w:tcPr>
            <w:tcW w:w="6512" w:type="dxa"/>
          </w:tcPr>
          <w:p w14:paraId="55D2F523" w14:textId="5C6BC57E" w:rsidR="00066468" w:rsidRPr="00F465D8" w:rsidRDefault="00066468" w:rsidP="004877A2">
            <w:pPr>
              <w:jc w:val="both"/>
            </w:pPr>
            <w:r w:rsidRPr="00066468">
              <w:t>Collect</w:t>
            </w:r>
            <w:r>
              <w:t>ion</w:t>
            </w:r>
            <w:r w:rsidRPr="00066468">
              <w:t xml:space="preserve"> and harmonis</w:t>
            </w:r>
            <w:r>
              <w:t>ation of</w:t>
            </w:r>
            <w:r w:rsidRPr="00066468">
              <w:t xml:space="preserve"> use cases</w:t>
            </w:r>
            <w:r>
              <w:t xml:space="preserve"> proposed</w:t>
            </w:r>
            <w:r w:rsidR="004D48C6">
              <w:t>.</w:t>
            </w:r>
          </w:p>
        </w:tc>
      </w:tr>
      <w:tr w:rsidR="00D86D01" w:rsidRPr="00F465D8" w14:paraId="7F0406E3" w14:textId="77777777" w:rsidTr="00DF4365">
        <w:tc>
          <w:tcPr>
            <w:tcW w:w="0" w:type="auto"/>
          </w:tcPr>
          <w:p w14:paraId="47ABBA21" w14:textId="6D18A8CD" w:rsidR="00D86D01" w:rsidRPr="00F465D8" w:rsidRDefault="00D86D01" w:rsidP="00DB4510">
            <w:r>
              <w:t>1</w:t>
            </w:r>
          </w:p>
        </w:tc>
        <w:tc>
          <w:tcPr>
            <w:tcW w:w="0" w:type="auto"/>
          </w:tcPr>
          <w:p w14:paraId="63BEB7B5" w14:textId="5FDD4BA4" w:rsidR="00D86D01" w:rsidRPr="00F465D8" w:rsidRDefault="00D86D01" w:rsidP="00DB4510">
            <w:r w:rsidRPr="00F465D8">
              <w:t>UC</w:t>
            </w:r>
          </w:p>
        </w:tc>
        <w:tc>
          <w:tcPr>
            <w:tcW w:w="1894" w:type="dxa"/>
          </w:tcPr>
          <w:p w14:paraId="269A799D" w14:textId="77777777" w:rsidR="00D86D01" w:rsidRPr="00F465D8" w:rsidRDefault="00D86D01" w:rsidP="00DB4510">
            <w:r w:rsidRPr="00F465D8">
              <w:t>Use cases</w:t>
            </w:r>
          </w:p>
        </w:tc>
        <w:tc>
          <w:tcPr>
            <w:tcW w:w="6512" w:type="dxa"/>
          </w:tcPr>
          <w:p w14:paraId="0F38543B" w14:textId="2D8452AF" w:rsidR="00D86D01" w:rsidRPr="00F465D8" w:rsidRDefault="00D86D01" w:rsidP="004877A2">
            <w:pPr>
              <w:jc w:val="both"/>
            </w:pPr>
            <w:r w:rsidRPr="00F465D8">
              <w:t>Proposals of use cases, their description and merger of compatible use cases</w:t>
            </w:r>
            <w:r w:rsidR="004D48C6">
              <w:t>.</w:t>
            </w:r>
          </w:p>
        </w:tc>
      </w:tr>
      <w:tr w:rsidR="00D86D01" w:rsidRPr="00F465D8" w14:paraId="47509F54" w14:textId="77777777" w:rsidTr="00DF4365">
        <w:tc>
          <w:tcPr>
            <w:tcW w:w="0" w:type="auto"/>
          </w:tcPr>
          <w:p w14:paraId="69149DE0" w14:textId="6610A6D3" w:rsidR="00D86D01" w:rsidRPr="00F465D8" w:rsidRDefault="00D86D01" w:rsidP="00DB4510">
            <w:r>
              <w:t>2</w:t>
            </w:r>
          </w:p>
        </w:tc>
        <w:tc>
          <w:tcPr>
            <w:tcW w:w="0" w:type="auto"/>
          </w:tcPr>
          <w:p w14:paraId="58894027" w14:textId="22105EE1" w:rsidR="00D86D01" w:rsidRPr="00F465D8" w:rsidRDefault="00D86D01" w:rsidP="00DB4510">
            <w:r w:rsidRPr="00F465D8">
              <w:t>FR</w:t>
            </w:r>
          </w:p>
        </w:tc>
        <w:tc>
          <w:tcPr>
            <w:tcW w:w="1894" w:type="dxa"/>
          </w:tcPr>
          <w:p w14:paraId="246F0497" w14:textId="77777777" w:rsidR="00D86D01" w:rsidRPr="00F465D8" w:rsidRDefault="00D86D01" w:rsidP="00DB4510">
            <w:r w:rsidRPr="00F465D8">
              <w:t>Functional Reqs</w:t>
            </w:r>
          </w:p>
        </w:tc>
        <w:tc>
          <w:tcPr>
            <w:tcW w:w="6512" w:type="dxa"/>
          </w:tcPr>
          <w:p w14:paraId="520FE853" w14:textId="4864CA3B" w:rsidR="00D86D01" w:rsidRPr="00F465D8" w:rsidRDefault="00D86D01" w:rsidP="004877A2">
            <w:pPr>
              <w:jc w:val="both"/>
            </w:pPr>
            <w:r w:rsidRPr="00F465D8">
              <w:t xml:space="preserve">Identification of the functional requirements that the standard </w:t>
            </w:r>
            <w:r w:rsidR="004877A2">
              <w:t>in</w:t>
            </w:r>
            <w:r w:rsidR="004877A2">
              <w:softHyphen/>
              <w:t xml:space="preserve">cluding the Use Case </w:t>
            </w:r>
            <w:r w:rsidRPr="00F465D8">
              <w:t>should satisfy</w:t>
            </w:r>
            <w:r w:rsidR="004D48C6">
              <w:t>.</w:t>
            </w:r>
          </w:p>
        </w:tc>
      </w:tr>
      <w:tr w:rsidR="00D86D01" w:rsidRPr="00F465D8" w14:paraId="6E71509D" w14:textId="77777777" w:rsidTr="00DF4365">
        <w:tc>
          <w:tcPr>
            <w:tcW w:w="0" w:type="auto"/>
          </w:tcPr>
          <w:p w14:paraId="3DB51394" w14:textId="27DCCB4A" w:rsidR="00D86D01" w:rsidRPr="00F465D8" w:rsidRDefault="00D86D01" w:rsidP="00DB4510">
            <w:r>
              <w:t>3</w:t>
            </w:r>
          </w:p>
        </w:tc>
        <w:tc>
          <w:tcPr>
            <w:tcW w:w="0" w:type="auto"/>
          </w:tcPr>
          <w:p w14:paraId="7AFD37EC" w14:textId="56F986CC" w:rsidR="00D86D01" w:rsidRPr="00F465D8" w:rsidRDefault="00D86D01" w:rsidP="00DB4510">
            <w:r w:rsidRPr="00F465D8">
              <w:t>CR</w:t>
            </w:r>
          </w:p>
        </w:tc>
        <w:tc>
          <w:tcPr>
            <w:tcW w:w="1894" w:type="dxa"/>
          </w:tcPr>
          <w:p w14:paraId="5F5753D7" w14:textId="77777777" w:rsidR="00D86D01" w:rsidRPr="00F465D8" w:rsidRDefault="00D86D01" w:rsidP="00DB4510">
            <w:r w:rsidRPr="00F465D8">
              <w:t>Commercial Reqs</w:t>
            </w:r>
          </w:p>
        </w:tc>
        <w:tc>
          <w:tcPr>
            <w:tcW w:w="6512" w:type="dxa"/>
          </w:tcPr>
          <w:p w14:paraId="343849BB" w14:textId="5DAF1E49" w:rsidR="00D86D01" w:rsidRPr="00F465D8" w:rsidRDefault="00D86D01" w:rsidP="004877A2">
            <w:pPr>
              <w:jc w:val="both"/>
            </w:pPr>
            <w:r w:rsidRPr="00F465D8">
              <w:t xml:space="preserve">Development </w:t>
            </w:r>
            <w:r w:rsidR="00EE5D37">
              <w:t xml:space="preserve">and approval </w:t>
            </w:r>
            <w:r w:rsidRPr="00F465D8">
              <w:t>of the framework licence of the stan</w:t>
            </w:r>
            <w:r w:rsidR="004877A2">
              <w:softHyphen/>
            </w:r>
            <w:r w:rsidRPr="00F465D8">
              <w:t>dard</w:t>
            </w:r>
            <w:r w:rsidR="004D48C6">
              <w:t>.</w:t>
            </w:r>
          </w:p>
        </w:tc>
      </w:tr>
      <w:tr w:rsidR="00D86D01" w:rsidRPr="00F465D8" w14:paraId="6D7759FA" w14:textId="77777777" w:rsidTr="00DF4365">
        <w:tc>
          <w:tcPr>
            <w:tcW w:w="0" w:type="auto"/>
          </w:tcPr>
          <w:p w14:paraId="7B1A2AF5" w14:textId="5C6F992B" w:rsidR="00D86D01" w:rsidRPr="00F465D8" w:rsidRDefault="00D86D01" w:rsidP="00DB4510">
            <w:r>
              <w:t>4</w:t>
            </w:r>
          </w:p>
        </w:tc>
        <w:tc>
          <w:tcPr>
            <w:tcW w:w="0" w:type="auto"/>
          </w:tcPr>
          <w:p w14:paraId="0C2E9465" w14:textId="66BCFBF1" w:rsidR="00D86D01" w:rsidRPr="00F465D8" w:rsidRDefault="00D86D01" w:rsidP="00DB4510">
            <w:r w:rsidRPr="00F465D8">
              <w:t>CfT</w:t>
            </w:r>
          </w:p>
        </w:tc>
        <w:tc>
          <w:tcPr>
            <w:tcW w:w="1894" w:type="dxa"/>
          </w:tcPr>
          <w:p w14:paraId="71FF95D2" w14:textId="77777777" w:rsidR="00D86D01" w:rsidRPr="00F465D8" w:rsidRDefault="00D86D01" w:rsidP="00DB4510">
            <w:r w:rsidRPr="00F465D8">
              <w:t>Call for Technologies</w:t>
            </w:r>
          </w:p>
        </w:tc>
        <w:tc>
          <w:tcPr>
            <w:tcW w:w="6512" w:type="dxa"/>
          </w:tcPr>
          <w:p w14:paraId="75237CCA" w14:textId="2229C318" w:rsidR="00D86D01" w:rsidRPr="00F465D8" w:rsidRDefault="00D86D01" w:rsidP="004877A2">
            <w:pPr>
              <w:jc w:val="both"/>
            </w:pPr>
            <w:r w:rsidRPr="00F465D8">
              <w:t xml:space="preserve">Preparation and publication of a document calling for technologies supporting the </w:t>
            </w:r>
            <w:r w:rsidR="004877A2">
              <w:t xml:space="preserve">functional and commercial </w:t>
            </w:r>
            <w:r w:rsidRPr="00F465D8">
              <w:t>requirements</w:t>
            </w:r>
            <w:r w:rsidR="004D48C6">
              <w:t>.</w:t>
            </w:r>
          </w:p>
        </w:tc>
      </w:tr>
      <w:tr w:rsidR="00D86D01" w14:paraId="664237BA" w14:textId="77777777" w:rsidTr="00DF4365">
        <w:tc>
          <w:tcPr>
            <w:tcW w:w="0" w:type="auto"/>
          </w:tcPr>
          <w:p w14:paraId="2B17C0CC" w14:textId="4053E4CE" w:rsidR="00D86D01" w:rsidRPr="00F465D8" w:rsidRDefault="00D86D01" w:rsidP="00DB4510">
            <w:r>
              <w:t>5</w:t>
            </w:r>
          </w:p>
        </w:tc>
        <w:tc>
          <w:tcPr>
            <w:tcW w:w="0" w:type="auto"/>
          </w:tcPr>
          <w:p w14:paraId="16C3AAC2" w14:textId="35EEF41D" w:rsidR="00D86D01" w:rsidRPr="00F465D8" w:rsidRDefault="00D86D01" w:rsidP="00DB4510">
            <w:r w:rsidRPr="00F465D8">
              <w:t>SD</w:t>
            </w:r>
          </w:p>
        </w:tc>
        <w:tc>
          <w:tcPr>
            <w:tcW w:w="1894" w:type="dxa"/>
          </w:tcPr>
          <w:p w14:paraId="6B7A8D58" w14:textId="5D0176E5" w:rsidR="00D86D01" w:rsidRPr="00F465D8" w:rsidRDefault="00D86D01" w:rsidP="00DB4510">
            <w:r w:rsidRPr="00F465D8">
              <w:t xml:space="preserve">Standard </w:t>
            </w:r>
            <w:r w:rsidR="0012146B">
              <w:t>D</w:t>
            </w:r>
            <w:r w:rsidRPr="00F465D8">
              <w:t>evelopment</w:t>
            </w:r>
          </w:p>
        </w:tc>
        <w:tc>
          <w:tcPr>
            <w:tcW w:w="6512" w:type="dxa"/>
          </w:tcPr>
          <w:p w14:paraId="578D6400" w14:textId="372E2AC3" w:rsidR="00D86D01" w:rsidRDefault="00D86D01" w:rsidP="004877A2">
            <w:pPr>
              <w:jc w:val="both"/>
            </w:pPr>
            <w:r w:rsidRPr="00F465D8">
              <w:t>Development of the standard in a specific Development Com</w:t>
            </w:r>
            <w:r w:rsidR="004877A2">
              <w:softHyphen/>
            </w:r>
            <w:r w:rsidRPr="00F465D8">
              <w:t>mit</w:t>
            </w:r>
            <w:r w:rsidR="004877A2">
              <w:softHyphen/>
            </w:r>
            <w:r w:rsidRPr="00F465D8">
              <w:t>tee (DC)</w:t>
            </w:r>
            <w:r w:rsidR="004D48C6">
              <w:t>.</w:t>
            </w:r>
          </w:p>
        </w:tc>
      </w:tr>
      <w:tr w:rsidR="009924DA" w14:paraId="1E27D1E5" w14:textId="77777777" w:rsidTr="00DF4365">
        <w:tc>
          <w:tcPr>
            <w:tcW w:w="0" w:type="auto"/>
          </w:tcPr>
          <w:p w14:paraId="5F86C021" w14:textId="11F53D79" w:rsidR="009924DA" w:rsidRDefault="0012146B" w:rsidP="00DB4510">
            <w:r>
              <w:t>6</w:t>
            </w:r>
          </w:p>
        </w:tc>
        <w:tc>
          <w:tcPr>
            <w:tcW w:w="0" w:type="auto"/>
          </w:tcPr>
          <w:p w14:paraId="4F858FF3" w14:textId="5E2548F2" w:rsidR="009924DA" w:rsidRPr="00F465D8" w:rsidRDefault="0012146B" w:rsidP="00DB4510">
            <w:r>
              <w:t>CC</w:t>
            </w:r>
          </w:p>
        </w:tc>
        <w:tc>
          <w:tcPr>
            <w:tcW w:w="1894" w:type="dxa"/>
          </w:tcPr>
          <w:p w14:paraId="51F02E93" w14:textId="7C8795F3" w:rsidR="009924DA" w:rsidRPr="00F465D8" w:rsidRDefault="0012146B" w:rsidP="00DB4510">
            <w:r>
              <w:t>Community Comments</w:t>
            </w:r>
          </w:p>
        </w:tc>
        <w:tc>
          <w:tcPr>
            <w:tcW w:w="6512" w:type="dxa"/>
          </w:tcPr>
          <w:p w14:paraId="06379A51" w14:textId="5D2E8331" w:rsidR="009924DA" w:rsidRPr="00F465D8" w:rsidRDefault="0012146B" w:rsidP="004877A2">
            <w:pPr>
              <w:jc w:val="both"/>
            </w:pPr>
            <w:r>
              <w:t xml:space="preserve">When the </w:t>
            </w:r>
            <w:r w:rsidR="004D48C6">
              <w:t>standard has achieved sufficient maturity it is published with request for comments.</w:t>
            </w:r>
          </w:p>
        </w:tc>
      </w:tr>
      <w:tr w:rsidR="00D86D01" w14:paraId="1CD9DF7F" w14:textId="77777777" w:rsidTr="00DF4365">
        <w:tc>
          <w:tcPr>
            <w:tcW w:w="0" w:type="auto"/>
          </w:tcPr>
          <w:p w14:paraId="07399DBE" w14:textId="343F9197" w:rsidR="00D86D01" w:rsidRDefault="0012146B" w:rsidP="00DB4510">
            <w:r>
              <w:t>7</w:t>
            </w:r>
          </w:p>
        </w:tc>
        <w:tc>
          <w:tcPr>
            <w:tcW w:w="0" w:type="auto"/>
          </w:tcPr>
          <w:p w14:paraId="35BD4210" w14:textId="494C17CB" w:rsidR="00D86D01" w:rsidRPr="00F465D8" w:rsidRDefault="00D86D01" w:rsidP="00DB4510">
            <w:r>
              <w:t>MS</w:t>
            </w:r>
          </w:p>
        </w:tc>
        <w:tc>
          <w:tcPr>
            <w:tcW w:w="1894" w:type="dxa"/>
          </w:tcPr>
          <w:p w14:paraId="389C3741" w14:textId="551D816F" w:rsidR="00D86D01" w:rsidRPr="00F465D8" w:rsidRDefault="00D86D01" w:rsidP="00DB4510">
            <w:r>
              <w:t>MPAI standard</w:t>
            </w:r>
          </w:p>
        </w:tc>
        <w:tc>
          <w:tcPr>
            <w:tcW w:w="6512" w:type="dxa"/>
          </w:tcPr>
          <w:p w14:paraId="5C00917A" w14:textId="23003734" w:rsidR="00D86D01" w:rsidRPr="00F465D8" w:rsidRDefault="00D86D01" w:rsidP="004877A2">
            <w:pPr>
              <w:jc w:val="both"/>
            </w:pPr>
            <w:r w:rsidRPr="00D86D01">
              <w:t xml:space="preserve">The standard </w:t>
            </w:r>
            <w:r w:rsidR="004877A2">
              <w:t>is approved by the General Assembly</w:t>
            </w:r>
            <w:r w:rsidR="00CB480B">
              <w:t>.</w:t>
            </w:r>
          </w:p>
        </w:tc>
      </w:tr>
    </w:tbl>
    <w:p w14:paraId="086585EA" w14:textId="39CF042E" w:rsidR="00066468" w:rsidRDefault="00066468" w:rsidP="00066468"/>
    <w:p w14:paraId="13359E5F" w14:textId="0031FCF1" w:rsidR="00694761" w:rsidRDefault="00694761" w:rsidP="006E0377">
      <w:pPr>
        <w:jc w:val="both"/>
      </w:pPr>
      <w:bookmarkStart w:id="0" w:name="_Hlk70789342"/>
      <w:r>
        <w:t>A project progresses from one stage to the next by resolution of the General Assembly.</w:t>
      </w:r>
    </w:p>
    <w:p w14:paraId="37EB8C77" w14:textId="09BF0E67" w:rsidR="00694761" w:rsidRDefault="00066468" w:rsidP="00CB480B">
      <w:pPr>
        <w:jc w:val="both"/>
      </w:pPr>
      <w:r>
        <w:t xml:space="preserve">The </w:t>
      </w:r>
      <w:r w:rsidR="008B553E">
        <w:t xml:space="preserve">stages of </w:t>
      </w:r>
      <w:r>
        <w:t xml:space="preserve">currently </w:t>
      </w:r>
      <w:r w:rsidR="008B553E">
        <w:t>(MPAI-</w:t>
      </w:r>
      <w:r w:rsidR="0009554D">
        <w:t>1</w:t>
      </w:r>
      <w:r w:rsidR="00E409DD">
        <w:t>2</w:t>
      </w:r>
      <w:r w:rsidR="008B553E">
        <w:t xml:space="preserve">) </w:t>
      </w:r>
      <w:r>
        <w:t xml:space="preserve">active MPAI projects are graphically represented by </w:t>
      </w:r>
      <w:r w:rsidR="00694761">
        <w:fldChar w:fldCharType="begin"/>
      </w:r>
      <w:r w:rsidR="00694761">
        <w:instrText xml:space="preserve"> REF _Ref62224849 \h </w:instrText>
      </w:r>
      <w:r w:rsidR="006E0377">
        <w:instrText xml:space="preserve"> \* MERGEFORMAT </w:instrText>
      </w:r>
      <w:r w:rsidR="00694761">
        <w:fldChar w:fldCharType="separate"/>
      </w:r>
      <w:r w:rsidR="00174208">
        <w:rPr>
          <w:i/>
          <w:lang w:val="en-US"/>
        </w:rPr>
        <w:t xml:space="preserve">Figure </w:t>
      </w:r>
      <w:r w:rsidR="00174208">
        <w:rPr>
          <w:i/>
          <w:iCs/>
          <w:noProof/>
          <w:lang w:val="en-US"/>
        </w:rPr>
        <w:t>1</w:t>
      </w:r>
      <w:r w:rsidR="00694761">
        <w:fldChar w:fldCharType="end"/>
      </w:r>
      <w:r w:rsidR="008B553E">
        <w:t>.</w:t>
      </w:r>
    </w:p>
    <w:p w14:paraId="01983A65" w14:textId="00D92B3E" w:rsidR="009D30EB" w:rsidRDefault="009D30EB" w:rsidP="00CB480B">
      <w:pPr>
        <w:jc w:val="both"/>
      </w:pPr>
      <w:r>
        <w:t>TS: Technical Specification, RS: Reference Software, CT: Conformance Testing, PA: Performance Assessment</w:t>
      </w:r>
    </w:p>
    <w:p w14:paraId="43EF550F" w14:textId="03918CEC" w:rsidR="00694761" w:rsidRDefault="00C01D37" w:rsidP="00694761">
      <w:pPr>
        <w:jc w:val="center"/>
      </w:pPr>
      <w:r>
        <w:rPr>
          <w:noProof/>
        </w:rPr>
        <w:drawing>
          <wp:inline distT="0" distB="0" distL="0" distR="0" wp14:anchorId="70CF9C7E" wp14:editId="3FCFB3F7">
            <wp:extent cx="5562801" cy="201586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9" cy="201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292C" w14:textId="48367437" w:rsidR="00694761" w:rsidRDefault="00694761" w:rsidP="00694761">
      <w:pPr>
        <w:jc w:val="center"/>
        <w:rPr>
          <w:i/>
          <w:iCs/>
        </w:rPr>
      </w:pPr>
      <w:bookmarkStart w:id="1" w:name="_Ref62224849"/>
      <w:bookmarkStart w:id="2" w:name="_Hlk71474121"/>
      <w:bookmarkStart w:id="3" w:name="_Hlk71477306"/>
      <w:r>
        <w:rPr>
          <w:i/>
          <w:lang w:val="en-US"/>
        </w:rPr>
        <w:t xml:space="preserve">Figure </w:t>
      </w:r>
      <w:r w:rsidRPr="006F16CF">
        <w:rPr>
          <w:i/>
          <w:iCs/>
        </w:rPr>
        <w:fldChar w:fldCharType="begin"/>
      </w:r>
      <w:r w:rsidRPr="006F16CF">
        <w:rPr>
          <w:i/>
          <w:iCs/>
          <w:lang w:val="en-US"/>
        </w:rPr>
        <w:instrText xml:space="preserve"> SEQ Figure \* ARABIC </w:instrText>
      </w:r>
      <w:r w:rsidRPr="006F16CF">
        <w:rPr>
          <w:i/>
          <w:iCs/>
        </w:rPr>
        <w:fldChar w:fldCharType="separate"/>
      </w:r>
      <w:r w:rsidR="00174208">
        <w:rPr>
          <w:i/>
          <w:iCs/>
          <w:noProof/>
          <w:lang w:val="en-US"/>
        </w:rPr>
        <w:t>1</w:t>
      </w:r>
      <w:r w:rsidRPr="006F16CF">
        <w:rPr>
          <w:i/>
          <w:iCs/>
        </w:rPr>
        <w:fldChar w:fldCharType="end"/>
      </w:r>
      <w:bookmarkEnd w:id="1"/>
      <w:r w:rsidRPr="006F16CF">
        <w:rPr>
          <w:i/>
          <w:iCs/>
        </w:rPr>
        <w:t xml:space="preserve"> –</w:t>
      </w:r>
      <w:r>
        <w:rPr>
          <w:i/>
          <w:iCs/>
        </w:rPr>
        <w:t xml:space="preserve"> </w:t>
      </w:r>
      <w:bookmarkEnd w:id="2"/>
      <w:r>
        <w:rPr>
          <w:i/>
          <w:iCs/>
        </w:rPr>
        <w:t xml:space="preserve">Snapshot of </w:t>
      </w:r>
      <w:r w:rsidR="008B553E">
        <w:rPr>
          <w:i/>
          <w:iCs/>
        </w:rPr>
        <w:t xml:space="preserve">the </w:t>
      </w:r>
      <w:r>
        <w:rPr>
          <w:i/>
          <w:iCs/>
        </w:rPr>
        <w:t>MPAI work plan</w:t>
      </w:r>
    </w:p>
    <w:p w14:paraId="318B0FE5" w14:textId="4B12ED29" w:rsidR="002D57FF" w:rsidRDefault="002D57FF" w:rsidP="00496C68">
      <w:pPr>
        <w:pStyle w:val="Heading1"/>
      </w:pPr>
      <w:bookmarkStart w:id="4" w:name="_Hlk70788687"/>
      <w:bookmarkEnd w:id="0"/>
      <w:bookmarkEnd w:id="3"/>
      <w:r>
        <w:lastRenderedPageBreak/>
        <w:t>Approved standards</w:t>
      </w:r>
    </w:p>
    <w:p w14:paraId="01ED5465" w14:textId="2994C134" w:rsidR="002D57FF" w:rsidRDefault="002D57FF" w:rsidP="002D57FF">
      <w:pPr>
        <w:pStyle w:val="Heading2"/>
        <w:rPr>
          <w:lang w:val="en-GB"/>
        </w:rPr>
      </w:pPr>
      <w:r>
        <w:rPr>
          <w:lang w:val="en-GB"/>
        </w:rPr>
        <w:t>MPAI-CUI</w:t>
      </w:r>
    </w:p>
    <w:p w14:paraId="762CB86D" w14:textId="77777777" w:rsidR="002D57FF" w:rsidRDefault="002D57FF" w:rsidP="002D57FF">
      <w:pPr>
        <w:pStyle w:val="Heading2"/>
        <w:rPr>
          <w:lang w:val="en-GB"/>
        </w:rPr>
      </w:pPr>
      <w:r>
        <w:rPr>
          <w:lang w:val="en-GB"/>
        </w:rPr>
        <w:t>MPAI-CUI</w:t>
      </w:r>
    </w:p>
    <w:p w14:paraId="45BFAC27" w14:textId="2BDA25E9" w:rsidR="002D57FF" w:rsidRDefault="002D57FF" w:rsidP="002D57FF">
      <w:pPr>
        <w:jc w:val="both"/>
      </w:pPr>
      <w:r w:rsidRPr="00A83390">
        <w:rPr>
          <w:u w:val="single"/>
        </w:rPr>
        <w:t xml:space="preserve">Compression and understanding of </w:t>
      </w:r>
      <w:r>
        <w:rPr>
          <w:u w:val="single"/>
        </w:rPr>
        <w:t>industrial</w:t>
      </w:r>
      <w:r w:rsidRPr="00A83390">
        <w:rPr>
          <w:u w:val="single"/>
        </w:rPr>
        <w:t xml:space="preserve"> data</w:t>
      </w:r>
      <w:r>
        <w:t xml:space="preserve"> (MPAI-CUI) aims to enable AI-based filtering and extraction of key information to predict company performance by applying Artificial Intellig</w:t>
      </w:r>
      <w:r>
        <w:softHyphen/>
        <w:t>ence to governance, financial and risk data.</w:t>
      </w:r>
      <w:r w:rsidR="00A95331">
        <w:t xml:space="preserve"> </w:t>
      </w:r>
      <w:r>
        <w:t xml:space="preserve">This is depicted in </w:t>
      </w:r>
      <w:r>
        <w:fldChar w:fldCharType="begin"/>
      </w:r>
      <w:r>
        <w:instrText xml:space="preserve"> REF _Ref62225896 \h </w:instrText>
      </w:r>
      <w:r>
        <w:fldChar w:fldCharType="separate"/>
      </w:r>
      <w:r w:rsidR="00174208">
        <w:rPr>
          <w:i/>
          <w:lang w:val="en-US"/>
        </w:rPr>
        <w:t xml:space="preserve">Figure </w:t>
      </w:r>
      <w:r w:rsidR="00174208">
        <w:rPr>
          <w:i/>
          <w:noProof/>
          <w:lang w:val="en-US"/>
        </w:rPr>
        <w:t>2</w:t>
      </w:r>
      <w:r>
        <w:fldChar w:fldCharType="end"/>
      </w:r>
      <w:r>
        <w:t>.</w:t>
      </w:r>
    </w:p>
    <w:p w14:paraId="653C3E0A" w14:textId="77777777" w:rsidR="002D57FF" w:rsidRPr="00871EFB" w:rsidRDefault="002D57FF" w:rsidP="002D57FF">
      <w:pPr>
        <w:jc w:val="center"/>
        <w:rPr>
          <w:i/>
          <w:lang w:val="en-US"/>
        </w:rPr>
      </w:pPr>
      <w:r>
        <w:rPr>
          <w:i/>
          <w:noProof/>
          <w:lang w:val="en-US"/>
        </w:rPr>
        <w:drawing>
          <wp:inline distT="0" distB="0" distL="0" distR="0" wp14:anchorId="3F24E964" wp14:editId="061A76FA">
            <wp:extent cx="5939790" cy="2389505"/>
            <wp:effectExtent l="0" t="0" r="3810" b="0"/>
            <wp:docPr id="13" name="Picture 1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F8B9" w14:textId="2567174B" w:rsidR="002D57FF" w:rsidRDefault="002D57FF" w:rsidP="002D57FF">
      <w:pPr>
        <w:jc w:val="center"/>
        <w:rPr>
          <w:i/>
          <w:lang w:val="en-US"/>
        </w:rPr>
      </w:pPr>
      <w:bookmarkStart w:id="5" w:name="_Ref62225896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174208">
        <w:rPr>
          <w:i/>
          <w:noProof/>
          <w:lang w:val="en-US"/>
        </w:rPr>
        <w:t>2</w:t>
      </w:r>
      <w:r>
        <w:fldChar w:fldCharType="end"/>
      </w:r>
      <w:bookmarkEnd w:id="5"/>
      <w:r>
        <w:t xml:space="preserve"> –</w:t>
      </w:r>
      <w:r>
        <w:rPr>
          <w:i/>
          <w:lang w:val="en-US"/>
        </w:rPr>
        <w:t xml:space="preserve"> The </w:t>
      </w:r>
      <w:r w:rsidRPr="006A5023">
        <w:rPr>
          <w:i/>
          <w:lang w:val="en-US"/>
        </w:rPr>
        <w:t>MPAI-</w:t>
      </w:r>
      <w:r>
        <w:rPr>
          <w:i/>
          <w:lang w:val="en-US"/>
        </w:rPr>
        <w:t>CUI Use Case</w:t>
      </w:r>
    </w:p>
    <w:p w14:paraId="4C66AB0C" w14:textId="77777777" w:rsidR="002D57FF" w:rsidRDefault="002D57FF" w:rsidP="002D57FF">
      <w:pPr>
        <w:rPr>
          <w:i/>
          <w:lang w:val="en-US"/>
        </w:rPr>
      </w:pPr>
    </w:p>
    <w:p w14:paraId="4AC4ACF9" w14:textId="25301581" w:rsidR="002D57FF" w:rsidRPr="002D57FF" w:rsidRDefault="000D61C9" w:rsidP="002D57FF">
      <w:r>
        <w:t xml:space="preserve">The collection of public documents </w:t>
      </w:r>
      <w:r w:rsidR="003F2851">
        <w:t xml:space="preserve">is available </w:t>
      </w:r>
      <w:hyperlink r:id="rId10" w:history="1">
        <w:r w:rsidR="003F2851" w:rsidRPr="006C797F">
          <w:rPr>
            <w:rStyle w:val="Hyperlink"/>
          </w:rPr>
          <w:t>here</w:t>
        </w:r>
      </w:hyperlink>
      <w:r w:rsidR="003F2851">
        <w:t xml:space="preserve">. The </w:t>
      </w:r>
      <w:r w:rsidR="00155271">
        <w:t xml:space="preserve">set of specifications is available </w:t>
      </w:r>
      <w:hyperlink r:id="rId11" w:history="1">
        <w:r w:rsidR="00155271" w:rsidRPr="006C797F">
          <w:rPr>
            <w:rStyle w:val="Hyperlink"/>
          </w:rPr>
          <w:t>here</w:t>
        </w:r>
      </w:hyperlink>
      <w:r w:rsidR="00155271">
        <w:t>.</w:t>
      </w:r>
    </w:p>
    <w:p w14:paraId="4CD73A70" w14:textId="3A2B5F36" w:rsidR="00496C68" w:rsidRDefault="00496C68" w:rsidP="00496C68">
      <w:pPr>
        <w:pStyle w:val="Heading1"/>
      </w:pPr>
      <w:r>
        <w:t xml:space="preserve">Areas at stage </w:t>
      </w:r>
      <w:r w:rsidR="006C797F">
        <w:t>6</w:t>
      </w:r>
      <w:r>
        <w:t xml:space="preserve"> (</w:t>
      </w:r>
      <w:r w:rsidR="008B553E">
        <w:t>SD</w:t>
      </w:r>
      <w:r>
        <w:t>)</w:t>
      </w:r>
    </w:p>
    <w:p w14:paraId="5B965989" w14:textId="77777777" w:rsidR="00635408" w:rsidRDefault="00635408" w:rsidP="00635408">
      <w:pPr>
        <w:pStyle w:val="Heading2"/>
      </w:pPr>
      <w:r>
        <w:t>MPAI-MMC</w:t>
      </w:r>
    </w:p>
    <w:p w14:paraId="31F5D422" w14:textId="77777777" w:rsidR="00635408" w:rsidRDefault="00635408" w:rsidP="00635408">
      <w:pPr>
        <w:jc w:val="both"/>
      </w:pPr>
      <w:bookmarkStart w:id="6" w:name="_Hlk55037977"/>
      <w:r w:rsidRPr="00746DE7">
        <w:rPr>
          <w:u w:val="single"/>
        </w:rPr>
        <w:t>Multi-modal conversation</w:t>
      </w:r>
      <w:r>
        <w:t xml:space="preserve"> (</w:t>
      </w:r>
      <w:bookmarkStart w:id="7" w:name="_Hlk53306664"/>
      <w:r>
        <w:t>MPAI-MMC</w:t>
      </w:r>
      <w:bookmarkEnd w:id="7"/>
      <w:r>
        <w:t xml:space="preserve">) </w:t>
      </w:r>
      <w:bookmarkStart w:id="8" w:name="_Hlk54172007"/>
      <w:r w:rsidRPr="00417D47">
        <w:t>aims to enable human-machine conversation that emul</w:t>
      </w:r>
      <w:r>
        <w:softHyphen/>
      </w:r>
      <w:r w:rsidRPr="00417D47">
        <w:t>ates human-human conversation in completeness and intensity by using AI</w:t>
      </w:r>
      <w:bookmarkEnd w:id="8"/>
      <w:r w:rsidRPr="00417D47">
        <w:t>.</w:t>
      </w:r>
    </w:p>
    <w:p w14:paraId="3ED7DD64" w14:textId="20DDCD2C" w:rsidR="00635408" w:rsidRDefault="00635408" w:rsidP="00635408">
      <w:pPr>
        <w:jc w:val="both"/>
      </w:pPr>
      <w:r>
        <w:t xml:space="preserve">So far, </w:t>
      </w:r>
      <w:r w:rsidR="00B77B92">
        <w:t>5</w:t>
      </w:r>
      <w:r>
        <w:t xml:space="preserve"> Use Cases have been identified for MPAI-MMC: Conversation with emotion, Multimodal Question Answering (QA) and </w:t>
      </w:r>
      <w:r w:rsidR="00B77B92">
        <w:t xml:space="preserve">3 </w:t>
      </w:r>
      <w:r>
        <w:t>Automatic Speech Translation</w:t>
      </w:r>
      <w:r w:rsidR="00B77B92">
        <w:t xml:space="preserve"> Use Cases</w:t>
      </w:r>
      <w:r>
        <w:t>.</w:t>
      </w:r>
    </w:p>
    <w:p w14:paraId="2CAB1C8A" w14:textId="69390FF5" w:rsidR="00635408" w:rsidRDefault="00635408" w:rsidP="00DD493C">
      <w:pPr>
        <w:jc w:val="both"/>
      </w:pPr>
      <w:r>
        <w:fldChar w:fldCharType="begin"/>
      </w:r>
      <w:r>
        <w:instrText xml:space="preserve"> REF _Ref58691628 \h  \* MERGEFORMAT </w:instrText>
      </w:r>
      <w:r>
        <w:fldChar w:fldCharType="separate"/>
      </w:r>
      <w:r w:rsidR="00174208">
        <w:rPr>
          <w:i/>
          <w:lang w:val="en-US"/>
        </w:rPr>
        <w:t xml:space="preserve">Figure </w:t>
      </w:r>
      <w:r w:rsidR="00174208">
        <w:rPr>
          <w:i/>
          <w:noProof/>
          <w:lang w:val="en-US"/>
        </w:rPr>
        <w:t>3</w:t>
      </w:r>
      <w:r>
        <w:fldChar w:fldCharType="end"/>
      </w:r>
      <w:r>
        <w:t xml:space="preserve"> addresses the </w:t>
      </w:r>
      <w:r w:rsidRPr="00C0706C">
        <w:t xml:space="preserve">Conversation with </w:t>
      </w:r>
      <w:r w:rsidR="006F171F">
        <w:t>E</w:t>
      </w:r>
      <w:r w:rsidRPr="00C0706C">
        <w:t>motion</w:t>
      </w:r>
      <w:r>
        <w:t xml:space="preserve"> Use Case.</w:t>
      </w:r>
    </w:p>
    <w:p w14:paraId="3B729F98" w14:textId="77777777" w:rsidR="00635408" w:rsidRDefault="00635408" w:rsidP="00635408">
      <w:pPr>
        <w:jc w:val="center"/>
        <w:rPr>
          <w:i/>
          <w:lang w:val="en-US"/>
        </w:rPr>
      </w:pPr>
      <w:bookmarkStart w:id="9" w:name="_Ref53307201"/>
      <w:bookmarkEnd w:id="6"/>
      <w:r>
        <w:rPr>
          <w:i/>
          <w:noProof/>
          <w:lang w:val="en-US"/>
        </w:rPr>
        <w:drawing>
          <wp:inline distT="0" distB="0" distL="0" distR="0" wp14:anchorId="53CDE572" wp14:editId="1CE81AC9">
            <wp:extent cx="5935345" cy="2174875"/>
            <wp:effectExtent l="0" t="0" r="8255" b="0"/>
            <wp:docPr id="12" name="Picture 1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14C4E" w14:textId="471D03EC" w:rsidR="00635408" w:rsidRDefault="00635408" w:rsidP="00635408">
      <w:pPr>
        <w:jc w:val="center"/>
        <w:rPr>
          <w:i/>
          <w:lang w:val="en-US"/>
        </w:rPr>
      </w:pPr>
      <w:bookmarkStart w:id="10" w:name="_Ref58691628"/>
      <w:bookmarkEnd w:id="9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174208">
        <w:rPr>
          <w:i/>
          <w:noProof/>
          <w:lang w:val="en-US"/>
        </w:rPr>
        <w:t>3</w:t>
      </w:r>
      <w:r>
        <w:fldChar w:fldCharType="end"/>
      </w:r>
      <w:bookmarkEnd w:id="10"/>
      <w:r>
        <w:t xml:space="preserve"> –</w:t>
      </w:r>
      <w:r>
        <w:rPr>
          <w:i/>
          <w:lang w:val="en-US"/>
        </w:rPr>
        <w:t xml:space="preserve"> An </w:t>
      </w:r>
      <w:r w:rsidRPr="006A5023">
        <w:rPr>
          <w:i/>
          <w:lang w:val="en-US"/>
        </w:rPr>
        <w:t>MPAI-</w:t>
      </w:r>
      <w:r>
        <w:rPr>
          <w:i/>
          <w:lang w:val="en-US"/>
        </w:rPr>
        <w:t>MMC Use Case: Conversation with emotion</w:t>
      </w:r>
    </w:p>
    <w:p w14:paraId="2AB92E1E" w14:textId="77777777" w:rsidR="00635408" w:rsidRDefault="00635408" w:rsidP="00635408">
      <w:pPr>
        <w:rPr>
          <w:i/>
          <w:lang w:val="en-US"/>
        </w:rPr>
      </w:pPr>
    </w:p>
    <w:p w14:paraId="12E2A120" w14:textId="396BF5D3" w:rsidR="00A81D53" w:rsidRDefault="00A81D53" w:rsidP="003A1EFB">
      <w:r>
        <w:t>MPAI has initiated work on Audio on the Go (AOG), a new use case for MPAI-CUI V2.</w:t>
      </w:r>
    </w:p>
    <w:p w14:paraId="4F702949" w14:textId="4026283E" w:rsidR="003A1EFB" w:rsidRPr="002D57FF" w:rsidRDefault="003A1EFB" w:rsidP="003A1EFB">
      <w:r>
        <w:lastRenderedPageBreak/>
        <w:t xml:space="preserve">The collection of public documents is available </w:t>
      </w:r>
      <w:hyperlink r:id="rId13" w:history="1">
        <w:r w:rsidRPr="006C797F">
          <w:rPr>
            <w:rStyle w:val="Hyperlink"/>
          </w:rPr>
          <w:t>here</w:t>
        </w:r>
      </w:hyperlink>
      <w:r>
        <w:t xml:space="preserve">. The MPAI-MMC Technical Specification has been approved </w:t>
      </w:r>
      <w:r w:rsidR="00584C35">
        <w:t xml:space="preserve">and </w:t>
      </w:r>
      <w:r>
        <w:t xml:space="preserve">is available </w:t>
      </w:r>
      <w:hyperlink r:id="rId14" w:history="1">
        <w:r w:rsidRPr="006C797F">
          <w:rPr>
            <w:rStyle w:val="Hyperlink"/>
          </w:rPr>
          <w:t>here</w:t>
        </w:r>
      </w:hyperlink>
      <w:r>
        <w:t>.</w:t>
      </w:r>
    </w:p>
    <w:p w14:paraId="0B31A46F" w14:textId="77777777" w:rsidR="003A2D8F" w:rsidRDefault="003A2D8F" w:rsidP="003A2D8F">
      <w:pPr>
        <w:pStyle w:val="Heading2"/>
        <w:rPr>
          <w:lang w:val="en-GB"/>
        </w:rPr>
      </w:pPr>
      <w:r>
        <w:rPr>
          <w:lang w:val="en-GB"/>
        </w:rPr>
        <w:t>MPAI-AIF</w:t>
      </w:r>
    </w:p>
    <w:p w14:paraId="0997F3CF" w14:textId="1075F383" w:rsidR="00841698" w:rsidRDefault="003A2D8F" w:rsidP="00DD493C">
      <w:pPr>
        <w:jc w:val="both"/>
      </w:pPr>
      <w:r w:rsidRPr="007A24C5">
        <w:rPr>
          <w:u w:val="single"/>
        </w:rPr>
        <w:t>Artificial Intelligence Framework</w:t>
      </w:r>
      <w:r>
        <w:t xml:space="preserve"> (MPAI-AIF) </w:t>
      </w:r>
      <w:r w:rsidR="00B2147F">
        <w:t>enables creation and automation of mixed A</w:t>
      </w:r>
      <w:r w:rsidR="002E2F53">
        <w:t xml:space="preserve">rtificial </w:t>
      </w:r>
      <w:r w:rsidR="00B2147F">
        <w:t>I</w:t>
      </w:r>
      <w:r w:rsidR="002E2F53">
        <w:t>ntelligence</w:t>
      </w:r>
      <w:r w:rsidR="00E00457">
        <w:t xml:space="preserve"> – Machine Learning – </w:t>
      </w:r>
      <w:r w:rsidR="00B2147F">
        <w:t>D</w:t>
      </w:r>
      <w:r w:rsidR="002E2F53">
        <w:t xml:space="preserve">ata </w:t>
      </w:r>
      <w:r w:rsidR="00B2147F">
        <w:t xml:space="preserve">Processing workflows for the </w:t>
      </w:r>
      <w:r w:rsidR="00987C93">
        <w:t xml:space="preserve">application </w:t>
      </w:r>
      <w:r w:rsidR="00B2147F">
        <w:t>areas currently considered</w:t>
      </w:r>
      <w:r w:rsidR="008B3DA5">
        <w:t xml:space="preserve"> by</w:t>
      </w:r>
      <w:r w:rsidR="00B2147F">
        <w:t xml:space="preserve"> the MPAI work plan. </w:t>
      </w:r>
      <w:r w:rsidR="00987C93">
        <w:t>MPAI-AIF will be extended to support new applic</w:t>
      </w:r>
      <w:r w:rsidR="006F244D">
        <w:softHyphen/>
      </w:r>
      <w:r w:rsidR="00987C93">
        <w:t>ations areas</w:t>
      </w:r>
      <w:r w:rsidR="00464755">
        <w:t>,</w:t>
      </w:r>
      <w:r w:rsidR="00987C93">
        <w:t xml:space="preserve"> if the need will arise.</w:t>
      </w:r>
      <w:r w:rsidR="008B3DA5">
        <w:t xml:space="preserve"> </w:t>
      </w:r>
      <w:r w:rsidR="00F0439A">
        <w:fldChar w:fldCharType="begin"/>
      </w:r>
      <w:r w:rsidR="00F0439A">
        <w:instrText xml:space="preserve"> REF _Ref56356949 \h </w:instrText>
      </w:r>
      <w:r w:rsidR="00F0439A">
        <w:fldChar w:fldCharType="separate"/>
      </w:r>
      <w:r w:rsidR="00174208">
        <w:rPr>
          <w:i/>
          <w:lang w:val="en-US"/>
        </w:rPr>
        <w:t xml:space="preserve">Figure </w:t>
      </w:r>
      <w:r w:rsidR="00174208">
        <w:rPr>
          <w:i/>
          <w:iCs/>
          <w:noProof/>
          <w:lang w:val="en-US"/>
        </w:rPr>
        <w:t>4</w:t>
      </w:r>
      <w:r w:rsidR="00F0439A">
        <w:fldChar w:fldCharType="end"/>
      </w:r>
      <w:r w:rsidR="00F0439A">
        <w:t xml:space="preserve"> shows the general MPAI-AIF Reference Model.</w:t>
      </w:r>
    </w:p>
    <w:p w14:paraId="36A45BF3" w14:textId="4CF13E28" w:rsidR="003A2D8F" w:rsidRDefault="001F7CC2" w:rsidP="000B3CA3">
      <w:pPr>
        <w:jc w:val="center"/>
      </w:pPr>
      <w:r>
        <w:rPr>
          <w:noProof/>
        </w:rPr>
        <w:drawing>
          <wp:inline distT="0" distB="0" distL="0" distR="0" wp14:anchorId="355620C3" wp14:editId="4FDF84AA">
            <wp:extent cx="5939790" cy="259207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55F1" w14:textId="77777777" w:rsidR="007E1109" w:rsidRDefault="007E1109" w:rsidP="003A2D8F">
      <w:pPr>
        <w:jc w:val="center"/>
        <w:rPr>
          <w:i/>
          <w:lang w:val="en-US"/>
        </w:rPr>
      </w:pPr>
    </w:p>
    <w:p w14:paraId="6EB6DE2A" w14:textId="7D026318" w:rsidR="003A2D8F" w:rsidRDefault="003A2D8F" w:rsidP="003A2D8F">
      <w:pPr>
        <w:jc w:val="center"/>
        <w:rPr>
          <w:i/>
          <w:iCs/>
        </w:rPr>
      </w:pPr>
      <w:bookmarkStart w:id="11" w:name="_Ref56356949"/>
      <w:r>
        <w:rPr>
          <w:i/>
          <w:lang w:val="en-US"/>
        </w:rPr>
        <w:t xml:space="preserve">Figure </w:t>
      </w:r>
      <w:r w:rsidRPr="006F16CF">
        <w:rPr>
          <w:i/>
          <w:iCs/>
        </w:rPr>
        <w:fldChar w:fldCharType="begin"/>
      </w:r>
      <w:r w:rsidRPr="006F16CF">
        <w:rPr>
          <w:i/>
          <w:iCs/>
          <w:lang w:val="en-US"/>
        </w:rPr>
        <w:instrText xml:space="preserve"> SEQ Figure \* ARABIC </w:instrText>
      </w:r>
      <w:r w:rsidRPr="006F16CF">
        <w:rPr>
          <w:i/>
          <w:iCs/>
        </w:rPr>
        <w:fldChar w:fldCharType="separate"/>
      </w:r>
      <w:r w:rsidR="00174208">
        <w:rPr>
          <w:i/>
          <w:iCs/>
          <w:noProof/>
          <w:lang w:val="en-US"/>
        </w:rPr>
        <w:t>4</w:t>
      </w:r>
      <w:r w:rsidRPr="006F16CF">
        <w:rPr>
          <w:i/>
          <w:iCs/>
        </w:rPr>
        <w:fldChar w:fldCharType="end"/>
      </w:r>
      <w:bookmarkEnd w:id="11"/>
      <w:r w:rsidRPr="006F16CF">
        <w:rPr>
          <w:i/>
          <w:iCs/>
        </w:rPr>
        <w:t xml:space="preserve"> –</w:t>
      </w:r>
      <w:r w:rsidR="008148D6">
        <w:rPr>
          <w:i/>
          <w:iCs/>
        </w:rPr>
        <w:t xml:space="preserve"> </w:t>
      </w:r>
      <w:r w:rsidR="00B2147F">
        <w:rPr>
          <w:i/>
          <w:iCs/>
        </w:rPr>
        <w:t xml:space="preserve">Reference model </w:t>
      </w:r>
      <w:r w:rsidRPr="006F16CF">
        <w:rPr>
          <w:i/>
          <w:iCs/>
        </w:rPr>
        <w:t>of the MPAI AI Framework</w:t>
      </w:r>
    </w:p>
    <w:p w14:paraId="3C5E6289" w14:textId="77777777" w:rsidR="00E86C64" w:rsidRDefault="00E86C64" w:rsidP="00E86C64">
      <w:pPr>
        <w:jc w:val="both"/>
      </w:pPr>
    </w:p>
    <w:p w14:paraId="345D0C41" w14:textId="180B9A92" w:rsidR="00FA6F79" w:rsidRPr="002D57FF" w:rsidRDefault="0065175D" w:rsidP="00FA6F79">
      <w:r>
        <w:t>Stage 6</w:t>
      </w:r>
      <w:r w:rsidR="007A1B0E">
        <w:t xml:space="preserve"> of the Technical Specification</w:t>
      </w:r>
      <w:r>
        <w:t xml:space="preserve"> is expected to be reached in </w:t>
      </w:r>
      <w:r w:rsidR="00FA6F79">
        <w:t>November</w:t>
      </w:r>
      <w:r>
        <w:t xml:space="preserve"> 2021.</w:t>
      </w:r>
      <w:r w:rsidR="00FA6F79">
        <w:t xml:space="preserve"> The collection of public documents is available </w:t>
      </w:r>
      <w:hyperlink r:id="rId16" w:history="1">
        <w:r w:rsidR="00FA6F79" w:rsidRPr="006C797F">
          <w:rPr>
            <w:rStyle w:val="Hyperlink"/>
          </w:rPr>
          <w:t>here</w:t>
        </w:r>
      </w:hyperlink>
      <w:r w:rsidR="00FA6F79">
        <w:t xml:space="preserve">. </w:t>
      </w:r>
    </w:p>
    <w:p w14:paraId="3D62FA33" w14:textId="78FD58D8" w:rsidR="004D4F80" w:rsidRDefault="004D4F80" w:rsidP="004D4F80">
      <w:pPr>
        <w:pStyle w:val="Heading2"/>
      </w:pPr>
      <w:r>
        <w:rPr>
          <w:lang w:val="en-GB"/>
        </w:rPr>
        <w:t>MPAI-CAE</w:t>
      </w:r>
    </w:p>
    <w:p w14:paraId="7BAE15F8" w14:textId="1E37F176" w:rsidR="007E1109" w:rsidRDefault="00496C68" w:rsidP="007E1109">
      <w:pPr>
        <w:jc w:val="both"/>
      </w:pPr>
      <w:r w:rsidRPr="00457DC6">
        <w:rPr>
          <w:u w:val="single"/>
        </w:rPr>
        <w:t>Context-based Audio Enhancement</w:t>
      </w:r>
      <w:r>
        <w:t xml:space="preserve"> (MPAI-CAE)</w:t>
      </w:r>
      <w:bookmarkStart w:id="12" w:name="_Hlk54170841"/>
      <w:r w:rsidR="007E1109">
        <w:t xml:space="preserve"> improve</w:t>
      </w:r>
      <w:r w:rsidR="00F74C9A">
        <w:t>s</w:t>
      </w:r>
      <w:r w:rsidR="007E1109">
        <w:t xml:space="preserve"> the user experience for several audio-related applications including entertainment, communication, teleconferencing, gaming, post-production, restoration etc. i</w:t>
      </w:r>
      <w:r w:rsidR="007E1109" w:rsidRPr="006B72E9">
        <w:t>n a variety of contexts</w:t>
      </w:r>
      <w:r w:rsidR="007E1109">
        <w:t xml:space="preserve"> such as </w:t>
      </w:r>
      <w:r w:rsidR="007E1109" w:rsidRPr="006B72E9">
        <w:t>in the home</w:t>
      </w:r>
      <w:r w:rsidR="007E1109">
        <w:t xml:space="preserve">, </w:t>
      </w:r>
      <w:r w:rsidR="007E1109" w:rsidRPr="006B72E9">
        <w:t>in the car</w:t>
      </w:r>
      <w:r w:rsidR="007E1109">
        <w:t xml:space="preserve">, </w:t>
      </w:r>
      <w:r w:rsidR="007E1109" w:rsidRPr="006B72E9">
        <w:t>on-the-go</w:t>
      </w:r>
      <w:r w:rsidR="007E1109">
        <w:t xml:space="preserve">, </w:t>
      </w:r>
      <w:r w:rsidR="007E1109" w:rsidRPr="006B72E9">
        <w:t xml:space="preserve">in the studio </w:t>
      </w:r>
      <w:r w:rsidR="007E1109">
        <w:t>etc. using context information to act on the input audio content using AI.</w:t>
      </w:r>
    </w:p>
    <w:p w14:paraId="6336F077" w14:textId="47D2D826" w:rsidR="009D30EB" w:rsidRDefault="009D30EB" w:rsidP="007E1109">
      <w:pPr>
        <w:jc w:val="both"/>
      </w:pPr>
      <w:r>
        <w:fldChar w:fldCharType="begin"/>
      </w:r>
      <w:r>
        <w:instrText xml:space="preserve"> REF _Ref53306916 \h </w:instrText>
      </w:r>
      <w:r>
        <w:fldChar w:fldCharType="separate"/>
      </w:r>
      <w:r>
        <w:rPr>
          <w:i/>
          <w:lang w:val="en-US"/>
        </w:rPr>
        <w:t xml:space="preserve">Figure </w:t>
      </w:r>
      <w:r>
        <w:rPr>
          <w:i/>
          <w:noProof/>
          <w:lang w:val="en-US"/>
        </w:rPr>
        <w:t>5</w:t>
      </w:r>
      <w:r>
        <w:fldChar w:fldCharType="end"/>
      </w:r>
      <w:r>
        <w:t xml:space="preserve"> is the reference model of Unidirectional Speech Translation.</w:t>
      </w:r>
    </w:p>
    <w:bookmarkEnd w:id="12"/>
    <w:p w14:paraId="3AABA88D" w14:textId="716CC60E" w:rsidR="003A5A37" w:rsidRDefault="001F7CC2" w:rsidP="00127C9F">
      <w:pPr>
        <w:jc w:val="center"/>
      </w:pPr>
      <w:r>
        <w:rPr>
          <w:noProof/>
        </w:rPr>
        <w:drawing>
          <wp:inline distT="0" distB="0" distL="0" distR="0" wp14:anchorId="7DC38015" wp14:editId="68159318">
            <wp:extent cx="4955237" cy="2550498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22" cy="25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7C630" w14:textId="0BA8BC33" w:rsidR="006A5023" w:rsidRDefault="006A5023" w:rsidP="006A5023">
      <w:pPr>
        <w:jc w:val="center"/>
        <w:rPr>
          <w:i/>
          <w:lang w:val="en-US"/>
        </w:rPr>
      </w:pPr>
      <w:bookmarkStart w:id="13" w:name="_Ref53306916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174208">
        <w:rPr>
          <w:i/>
          <w:noProof/>
          <w:lang w:val="en-US"/>
        </w:rPr>
        <w:t>5</w:t>
      </w:r>
      <w:r>
        <w:fldChar w:fldCharType="end"/>
      </w:r>
      <w:bookmarkEnd w:id="13"/>
      <w:r>
        <w:t xml:space="preserve"> –</w:t>
      </w:r>
      <w:r>
        <w:rPr>
          <w:i/>
          <w:lang w:val="en-US"/>
        </w:rPr>
        <w:t xml:space="preserve"> </w:t>
      </w:r>
      <w:r w:rsidR="00C971E5">
        <w:rPr>
          <w:i/>
          <w:lang w:val="en-US"/>
        </w:rPr>
        <w:t xml:space="preserve">An </w:t>
      </w:r>
      <w:r w:rsidRPr="006A5023">
        <w:rPr>
          <w:i/>
          <w:lang w:val="en-US"/>
        </w:rPr>
        <w:t>MPAI-CAE</w:t>
      </w:r>
      <w:r w:rsidR="00B07346">
        <w:rPr>
          <w:i/>
          <w:lang w:val="en-US"/>
        </w:rPr>
        <w:t xml:space="preserve"> Use Case</w:t>
      </w:r>
      <w:r w:rsidR="00C971E5">
        <w:rPr>
          <w:i/>
          <w:lang w:val="en-US"/>
        </w:rPr>
        <w:t xml:space="preserve">: </w:t>
      </w:r>
      <w:r w:rsidR="00B07346" w:rsidRPr="00A63294">
        <w:rPr>
          <w:i/>
          <w:iCs/>
        </w:rPr>
        <w:t>Emotion-</w:t>
      </w:r>
      <w:r w:rsidR="00986B73">
        <w:rPr>
          <w:i/>
          <w:iCs/>
        </w:rPr>
        <w:t>E</w:t>
      </w:r>
      <w:r w:rsidR="00B07346" w:rsidRPr="00A63294">
        <w:rPr>
          <w:i/>
          <w:iCs/>
        </w:rPr>
        <w:t xml:space="preserve">nhanced </w:t>
      </w:r>
      <w:r w:rsidR="00986B73">
        <w:rPr>
          <w:i/>
          <w:iCs/>
        </w:rPr>
        <w:t>S</w:t>
      </w:r>
      <w:r w:rsidR="00B07346" w:rsidRPr="00A63294">
        <w:rPr>
          <w:i/>
          <w:iCs/>
        </w:rPr>
        <w:t>peech</w:t>
      </w:r>
    </w:p>
    <w:p w14:paraId="4B230133" w14:textId="6348B29D" w:rsidR="007A1B0E" w:rsidRPr="002D57FF" w:rsidRDefault="007A1B0E" w:rsidP="00260276">
      <w:pPr>
        <w:jc w:val="both"/>
      </w:pPr>
      <w:r>
        <w:lastRenderedPageBreak/>
        <w:t xml:space="preserve">Stage 6 of the Technical Specification is expected to be reached in November 2021. The collection of public documents is available </w:t>
      </w:r>
      <w:hyperlink r:id="rId18" w:history="1">
        <w:r w:rsidRPr="006C797F">
          <w:rPr>
            <w:rStyle w:val="Hyperlink"/>
          </w:rPr>
          <w:t>here</w:t>
        </w:r>
      </w:hyperlink>
      <w:r>
        <w:t xml:space="preserve">. </w:t>
      </w:r>
    </w:p>
    <w:p w14:paraId="015CE6B4" w14:textId="77777777" w:rsidR="008B553E" w:rsidRDefault="008B553E" w:rsidP="008B553E">
      <w:pPr>
        <w:pStyle w:val="Heading1"/>
      </w:pPr>
      <w:r>
        <w:t>Areas at stage 2 (FR)</w:t>
      </w:r>
    </w:p>
    <w:p w14:paraId="5076D3CB" w14:textId="77777777" w:rsidR="008B4822" w:rsidRDefault="008B4822" w:rsidP="008B4822">
      <w:pPr>
        <w:pStyle w:val="Heading2"/>
        <w:rPr>
          <w:lang w:val="en-GB"/>
        </w:rPr>
      </w:pPr>
      <w:r>
        <w:rPr>
          <w:lang w:val="en-GB"/>
        </w:rPr>
        <w:t>MPAI-SPG</w:t>
      </w:r>
    </w:p>
    <w:p w14:paraId="79A7EF0E" w14:textId="6FB02BE6" w:rsidR="008B4822" w:rsidRDefault="008B4822" w:rsidP="007202C1">
      <w:pPr>
        <w:jc w:val="both"/>
      </w:pPr>
      <w:bookmarkStart w:id="14" w:name="_Hlk52656891"/>
      <w:bookmarkStart w:id="15" w:name="_Hlk55036549"/>
      <w:bookmarkStart w:id="16" w:name="_Hlk53392752"/>
      <w:r w:rsidRPr="00F60B90">
        <w:rPr>
          <w:u w:val="single"/>
        </w:rPr>
        <w:t>Server-based Predictive Multiplayer Gaming</w:t>
      </w:r>
      <w:bookmarkEnd w:id="14"/>
      <w:r>
        <w:t xml:space="preserve"> (MPAI-SPG) </w:t>
      </w:r>
      <w:bookmarkStart w:id="17" w:name="_Hlk54171639"/>
      <w:r>
        <w:t xml:space="preserve">aims to </w:t>
      </w:r>
      <w:r w:rsidRPr="00C56E55">
        <w:t>minimi</w:t>
      </w:r>
      <w:r>
        <w:t>se</w:t>
      </w:r>
      <w:r w:rsidRPr="00C56E55">
        <w:t xml:space="preserve"> the </w:t>
      </w:r>
      <w:r>
        <w:t>audio-</w:t>
      </w:r>
      <w:r w:rsidRPr="00C56E55">
        <w:t xml:space="preserve">visual </w:t>
      </w:r>
      <w:r>
        <w:t xml:space="preserve">and gameplay </w:t>
      </w:r>
      <w:r w:rsidRPr="00C56E55">
        <w:t>discontinuities</w:t>
      </w:r>
      <w:r>
        <w:t xml:space="preserve"> caused by high latency or packet losses during an online real-time game. </w:t>
      </w:r>
      <w:bookmarkEnd w:id="17"/>
      <w:r>
        <w:t xml:space="preserve">In case information from a client is missing, the data </w:t>
      </w:r>
      <w:r w:rsidRPr="00C56E55">
        <w:t>collect</w:t>
      </w:r>
      <w:r>
        <w:t>ed</w:t>
      </w:r>
      <w:r w:rsidRPr="00C56E55">
        <w:t xml:space="preserve"> from </w:t>
      </w:r>
      <w:r>
        <w:t xml:space="preserve">the </w:t>
      </w:r>
      <w:r w:rsidRPr="00C56E55">
        <w:t>clients involved in a particular game</w:t>
      </w:r>
      <w:r>
        <w:t xml:space="preserve"> are fed to an AI-based system that </w:t>
      </w:r>
      <w:r w:rsidRPr="00C56E55">
        <w:t>predict</w:t>
      </w:r>
      <w:r>
        <w:t>s</w:t>
      </w:r>
      <w:r w:rsidRPr="00C56E55">
        <w:t xml:space="preserve"> </w:t>
      </w:r>
      <w:r>
        <w:t xml:space="preserve">the </w:t>
      </w:r>
      <w:r w:rsidRPr="00C56E55">
        <w:t>move</w:t>
      </w:r>
      <w:r>
        <w:t>s of the client whose data are missing.</w:t>
      </w:r>
      <w:r w:rsidR="007A4ED5">
        <w:t xml:space="preserve"> The same technologies provide a response to the need to detect who amongst the players is cheating.</w:t>
      </w:r>
    </w:p>
    <w:p w14:paraId="3A8AE3E6" w14:textId="5246E8B2" w:rsidR="008B4822" w:rsidRDefault="008B4822" w:rsidP="007202C1">
      <w:pPr>
        <w:jc w:val="both"/>
      </w:pPr>
      <w:r>
        <w:fldChar w:fldCharType="begin"/>
      </w:r>
      <w:r>
        <w:instrText xml:space="preserve"> REF _Ref62226875 \h </w:instrText>
      </w:r>
      <w:r w:rsidR="007202C1">
        <w:instrText xml:space="preserve"> \* MERGEFORMAT </w:instrText>
      </w:r>
      <w:r>
        <w:fldChar w:fldCharType="separate"/>
      </w:r>
      <w:r w:rsidR="00174208">
        <w:rPr>
          <w:i/>
          <w:lang w:val="en-US"/>
        </w:rPr>
        <w:t xml:space="preserve">Figure </w:t>
      </w:r>
      <w:r w:rsidR="00174208">
        <w:rPr>
          <w:i/>
          <w:noProof/>
          <w:lang w:val="en-US"/>
        </w:rPr>
        <w:t>6</w:t>
      </w:r>
      <w:r>
        <w:fldChar w:fldCharType="end"/>
      </w:r>
      <w:r>
        <w:t xml:space="preserve"> depicts the MPAI-SPG reference model</w:t>
      </w:r>
      <w:r w:rsidR="007A4ED5">
        <w:t xml:space="preserve"> including the cloud gaming model</w:t>
      </w:r>
      <w:r>
        <w:t>.</w:t>
      </w:r>
    </w:p>
    <w:p w14:paraId="0559D759" w14:textId="77777777" w:rsidR="00174208" w:rsidRDefault="00174208" w:rsidP="007202C1">
      <w:pPr>
        <w:jc w:val="both"/>
      </w:pPr>
    </w:p>
    <w:bookmarkEnd w:id="15"/>
    <w:p w14:paraId="5BC54117" w14:textId="70CA84B5" w:rsidR="008B4822" w:rsidRDefault="006D0781" w:rsidP="008B4822">
      <w:pPr>
        <w:jc w:val="center"/>
      </w:pPr>
      <w:r>
        <w:rPr>
          <w:noProof/>
        </w:rPr>
        <w:drawing>
          <wp:inline distT="0" distB="0" distL="0" distR="0" wp14:anchorId="5BA85D5C" wp14:editId="1D4164F3">
            <wp:extent cx="5934710" cy="2168525"/>
            <wp:effectExtent l="0" t="0" r="889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FC60" w14:textId="0DC2A779" w:rsidR="008B4822" w:rsidRDefault="008B4822" w:rsidP="00527788">
      <w:pPr>
        <w:jc w:val="center"/>
        <w:rPr>
          <w:i/>
          <w:lang w:val="en-US"/>
        </w:rPr>
      </w:pPr>
      <w:bookmarkStart w:id="18" w:name="_Ref62226875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174208">
        <w:rPr>
          <w:i/>
          <w:noProof/>
          <w:lang w:val="en-US"/>
        </w:rPr>
        <w:t>6</w:t>
      </w:r>
      <w:r>
        <w:fldChar w:fldCharType="end"/>
      </w:r>
      <w:bookmarkEnd w:id="18"/>
      <w:r>
        <w:t xml:space="preserve"> </w:t>
      </w:r>
      <w:r w:rsidR="00147FE2">
        <w:t>–</w:t>
      </w:r>
      <w:r w:rsidR="00147FE2">
        <w:rPr>
          <w:i/>
          <w:lang w:val="en-US"/>
        </w:rPr>
        <w:t xml:space="preserve"> The </w:t>
      </w:r>
      <w:r w:rsidR="00147FE2" w:rsidRPr="006A5023">
        <w:rPr>
          <w:i/>
          <w:lang w:val="en-US"/>
        </w:rPr>
        <w:t>MPAI-</w:t>
      </w:r>
      <w:r w:rsidR="00147FE2">
        <w:rPr>
          <w:i/>
          <w:lang w:val="en-US"/>
        </w:rPr>
        <w:t>CUI Use Case</w:t>
      </w:r>
    </w:p>
    <w:p w14:paraId="722C63F2" w14:textId="2E974A29" w:rsidR="008B4822" w:rsidRDefault="008B4822" w:rsidP="008B4822"/>
    <w:bookmarkEnd w:id="16"/>
    <w:p w14:paraId="26C067E9" w14:textId="614ABEA8" w:rsidR="00260276" w:rsidRPr="002D57FF" w:rsidRDefault="00260276" w:rsidP="00260276">
      <w:pPr>
        <w:jc w:val="both"/>
      </w:pPr>
      <w:r>
        <w:t xml:space="preserve">The collection of public documents is available </w:t>
      </w:r>
      <w:hyperlink r:id="rId20" w:history="1">
        <w:r w:rsidRPr="006C797F">
          <w:rPr>
            <w:rStyle w:val="Hyperlink"/>
          </w:rPr>
          <w:t>here</w:t>
        </w:r>
      </w:hyperlink>
      <w:r>
        <w:t xml:space="preserve">. </w:t>
      </w:r>
    </w:p>
    <w:p w14:paraId="26869173" w14:textId="7F42DE7B" w:rsidR="00712AB2" w:rsidRDefault="00712AB2" w:rsidP="00712AB2">
      <w:pPr>
        <w:pStyle w:val="Heading2"/>
      </w:pPr>
      <w:r>
        <w:t>MPAI-EV</w:t>
      </w:r>
      <w:r>
        <w:rPr>
          <w:lang w:val="en-GB"/>
        </w:rPr>
        <w:t>C</w:t>
      </w:r>
    </w:p>
    <w:p w14:paraId="158C0CD6" w14:textId="39D73475" w:rsidR="0069458E" w:rsidRDefault="00712AB2" w:rsidP="0069458E">
      <w:r w:rsidRPr="00746DE7">
        <w:rPr>
          <w:u w:val="single"/>
        </w:rPr>
        <w:t>AI-Enhanced Video Coding</w:t>
      </w:r>
      <w:r>
        <w:t xml:space="preserve"> (MPAI-E</w:t>
      </w:r>
      <w:r w:rsidR="00FA247C">
        <w:t>VC</w:t>
      </w:r>
      <w:r>
        <w:t>) is a video compression stan</w:t>
      </w:r>
      <w:r>
        <w:softHyphen/>
        <w:t>dard that substantially en</w:t>
      </w:r>
      <w:r w:rsidR="00FA247C">
        <w:softHyphen/>
      </w:r>
      <w:r>
        <w:t>hances the performance of a</w:t>
      </w:r>
      <w:r w:rsidR="00FA247C">
        <w:t xml:space="preserve"> traditional</w:t>
      </w:r>
      <w:r>
        <w:t xml:space="preserve"> video codec by </w:t>
      </w:r>
      <w:r w:rsidR="00151142">
        <w:t>improving</w:t>
      </w:r>
      <w:r>
        <w:t xml:space="preserve"> or replacing traditional tools with AI-based tools. Two </w:t>
      </w:r>
      <w:r w:rsidR="0055221B">
        <w:t>approaches</w:t>
      </w:r>
      <w:r>
        <w:t xml:space="preserve"> </w:t>
      </w:r>
      <w:r w:rsidR="0055221B">
        <w:t xml:space="preserve">– Horizontal Hybrid and Vertical Hybrid – </w:t>
      </w:r>
      <w:r>
        <w:t>are envisaged</w:t>
      </w:r>
      <w:r w:rsidR="0055221B">
        <w:t xml:space="preserve">. </w:t>
      </w:r>
      <w:r w:rsidR="0069458E" w:rsidRPr="0055221B">
        <w:rPr>
          <w:bCs/>
          <w:lang w:val="en-CA"/>
        </w:rPr>
        <w:t xml:space="preserve">The </w:t>
      </w:r>
      <w:r w:rsidR="0069458E" w:rsidRPr="0055221B">
        <w:rPr>
          <w:b/>
          <w:lang w:val="en-CA"/>
        </w:rPr>
        <w:t>Vertical Hybrid</w:t>
      </w:r>
      <w:r w:rsidR="0069458E" w:rsidRPr="0055221B">
        <w:rPr>
          <w:lang w:val="en-CA"/>
        </w:rPr>
        <w:t xml:space="preserve"> </w:t>
      </w:r>
      <w:r w:rsidR="0069458E">
        <w:rPr>
          <w:lang w:val="en-CA"/>
        </w:rPr>
        <w:t xml:space="preserve">approach envigaes </w:t>
      </w:r>
      <w:r w:rsidR="0069458E" w:rsidRPr="0055221B">
        <w:rPr>
          <w:lang w:val="en-CA"/>
        </w:rPr>
        <w:t xml:space="preserve">an AVC/HEVC/EVC/VVC base layer plus an enhanced machine learning-based layer. </w:t>
      </w:r>
      <w:r w:rsidR="0069458E">
        <w:t xml:space="preserve">This case can be represented by </w:t>
      </w:r>
      <w:r w:rsidR="0069458E">
        <w:fldChar w:fldCharType="begin"/>
      </w:r>
      <w:r w:rsidR="0069458E">
        <w:instrText xml:space="preserve"> REF _Ref53307088 \h </w:instrText>
      </w:r>
      <w:r w:rsidR="0069458E">
        <w:fldChar w:fldCharType="separate"/>
      </w:r>
      <w:r w:rsidR="00174208">
        <w:rPr>
          <w:i/>
          <w:lang w:val="en-US"/>
        </w:rPr>
        <w:t xml:space="preserve">Figure </w:t>
      </w:r>
      <w:r w:rsidR="00174208">
        <w:rPr>
          <w:i/>
          <w:noProof/>
          <w:lang w:val="en-US"/>
        </w:rPr>
        <w:t>7</w:t>
      </w:r>
      <w:r w:rsidR="0069458E">
        <w:fldChar w:fldCharType="end"/>
      </w:r>
      <w:r w:rsidR="0069458E">
        <w:t>.</w:t>
      </w:r>
    </w:p>
    <w:p w14:paraId="370EEA7F" w14:textId="77777777" w:rsidR="00174208" w:rsidRDefault="00174208" w:rsidP="0069458E">
      <w:pPr>
        <w:jc w:val="center"/>
      </w:pPr>
    </w:p>
    <w:p w14:paraId="648A85F4" w14:textId="5230D958" w:rsidR="0069458E" w:rsidRDefault="0069458E" w:rsidP="0069458E">
      <w:pPr>
        <w:jc w:val="center"/>
      </w:pPr>
      <w:r>
        <w:rPr>
          <w:noProof/>
        </w:rPr>
        <w:drawing>
          <wp:inline distT="0" distB="0" distL="0" distR="0" wp14:anchorId="6726EDAF" wp14:editId="5B793B66">
            <wp:extent cx="5940425" cy="1810385"/>
            <wp:effectExtent l="0" t="0" r="317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C0CD" w14:textId="2F9F6CFF" w:rsidR="0069458E" w:rsidRDefault="0069458E" w:rsidP="0069458E">
      <w:pPr>
        <w:jc w:val="center"/>
        <w:rPr>
          <w:i/>
          <w:lang w:val="en-US"/>
        </w:rPr>
      </w:pPr>
      <w:bookmarkStart w:id="19" w:name="_Ref53307088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174208">
        <w:rPr>
          <w:i/>
          <w:noProof/>
          <w:lang w:val="en-US"/>
        </w:rPr>
        <w:t>7</w:t>
      </w:r>
      <w:r>
        <w:fldChar w:fldCharType="end"/>
      </w:r>
      <w:bookmarkEnd w:id="19"/>
      <w:r>
        <w:t xml:space="preserve"> –</w:t>
      </w:r>
      <w:r>
        <w:rPr>
          <w:i/>
          <w:lang w:val="en-US"/>
        </w:rPr>
        <w:t xml:space="preserve"> A reference diagram for the Vertical</w:t>
      </w:r>
      <w:r w:rsidRPr="006A5023">
        <w:rPr>
          <w:i/>
          <w:lang w:val="en-US"/>
        </w:rPr>
        <w:t xml:space="preserve"> Hybrid approach</w:t>
      </w:r>
    </w:p>
    <w:p w14:paraId="79DB683B" w14:textId="77777777" w:rsidR="0069458E" w:rsidRDefault="0069458E" w:rsidP="00C534E8">
      <w:pPr>
        <w:jc w:val="both"/>
        <w:rPr>
          <w:bCs/>
          <w:lang w:val="en-CA"/>
        </w:rPr>
      </w:pPr>
    </w:p>
    <w:p w14:paraId="24665EA6" w14:textId="4E77A591" w:rsidR="00C534E8" w:rsidRPr="0055221B" w:rsidRDefault="00C534E8" w:rsidP="00C534E8">
      <w:pPr>
        <w:jc w:val="both"/>
        <w:rPr>
          <w:lang w:val="en-CA"/>
        </w:rPr>
      </w:pPr>
      <w:r w:rsidRPr="0055221B">
        <w:rPr>
          <w:bCs/>
          <w:lang w:val="en-CA"/>
        </w:rPr>
        <w:lastRenderedPageBreak/>
        <w:t xml:space="preserve">The </w:t>
      </w:r>
      <w:r w:rsidRPr="0055221B">
        <w:rPr>
          <w:b/>
          <w:lang w:val="en-CA"/>
        </w:rPr>
        <w:t>Horizontal Hybrid</w:t>
      </w:r>
      <w:r w:rsidRPr="0055221B">
        <w:rPr>
          <w:lang w:val="en-CA"/>
        </w:rPr>
        <w:t xml:space="preserve"> approach introduces AI based algorithms combined with trad</w:t>
      </w:r>
      <w:r w:rsidRPr="0055221B">
        <w:rPr>
          <w:lang w:val="en-CA"/>
        </w:rPr>
        <w:softHyphen/>
        <w:t>itional image</w:t>
      </w:r>
      <w:r>
        <w:rPr>
          <w:lang w:val="en-CA"/>
        </w:rPr>
        <w:t>/</w:t>
      </w:r>
      <w:r w:rsidRPr="0055221B">
        <w:rPr>
          <w:lang w:val="en-CA"/>
        </w:rPr>
        <w:t>video codec, trying to replace one block of the traditional schema with a machine learn</w:t>
      </w:r>
      <w:r>
        <w:rPr>
          <w:lang w:val="en-CA"/>
        </w:rPr>
        <w:softHyphen/>
      </w:r>
      <w:r w:rsidRPr="0055221B">
        <w:rPr>
          <w:lang w:val="en-CA"/>
        </w:rPr>
        <w:t>ing-based one</w:t>
      </w:r>
      <w:r>
        <w:rPr>
          <w:lang w:val="en-CA"/>
        </w:rPr>
        <w:t xml:space="preserve">. </w:t>
      </w:r>
      <w:r>
        <w:t xml:space="preserve">This case can be </w:t>
      </w:r>
      <w:bookmarkStart w:id="20" w:name="_Hlk55036364"/>
      <w:r>
        <w:t xml:space="preserve">described by </w:t>
      </w:r>
      <w:r>
        <w:fldChar w:fldCharType="begin"/>
      </w:r>
      <w:r>
        <w:instrText xml:space="preserve"> REF _Ref53307138 \h </w:instrText>
      </w:r>
      <w:r>
        <w:fldChar w:fldCharType="separate"/>
      </w:r>
      <w:r w:rsidR="00174208">
        <w:rPr>
          <w:i/>
          <w:lang w:val="en-US"/>
        </w:rPr>
        <w:t xml:space="preserve">Figure </w:t>
      </w:r>
      <w:r w:rsidR="00174208">
        <w:rPr>
          <w:i/>
          <w:noProof/>
          <w:lang w:val="en-US"/>
        </w:rPr>
        <w:t>8</w:t>
      </w:r>
      <w:r>
        <w:fldChar w:fldCharType="end"/>
      </w:r>
      <w:r>
        <w:t xml:space="preserve"> where green circles represent tools that can be replaced or enhanced with their AI-based equivalent</w:t>
      </w:r>
      <w:bookmarkEnd w:id="20"/>
      <w:r>
        <w:t>.</w:t>
      </w:r>
    </w:p>
    <w:p w14:paraId="0649C985" w14:textId="77777777" w:rsidR="00C534E8" w:rsidRDefault="00C534E8" w:rsidP="00C534E8">
      <w:pPr>
        <w:jc w:val="center"/>
        <w:rPr>
          <w:i/>
          <w:lang w:val="en-US"/>
        </w:rPr>
      </w:pPr>
      <w:r>
        <w:rPr>
          <w:i/>
          <w:noProof/>
          <w:lang w:val="en-US"/>
        </w:rPr>
        <w:drawing>
          <wp:inline distT="0" distB="0" distL="0" distR="0" wp14:anchorId="4333E716" wp14:editId="39351E78">
            <wp:extent cx="5939155" cy="3444875"/>
            <wp:effectExtent l="0" t="0" r="4445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A42B" w14:textId="472C2DF9" w:rsidR="00C534E8" w:rsidRDefault="00C534E8" w:rsidP="00C534E8">
      <w:pPr>
        <w:jc w:val="center"/>
      </w:pPr>
      <w:bookmarkStart w:id="21" w:name="_Ref53307138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174208">
        <w:rPr>
          <w:i/>
          <w:noProof/>
          <w:lang w:val="en-US"/>
        </w:rPr>
        <w:t>8</w:t>
      </w:r>
      <w:r>
        <w:fldChar w:fldCharType="end"/>
      </w:r>
      <w:bookmarkEnd w:id="21"/>
      <w:r>
        <w:t xml:space="preserve"> –</w:t>
      </w:r>
      <w:r>
        <w:rPr>
          <w:i/>
          <w:lang w:val="en-US"/>
        </w:rPr>
        <w:t xml:space="preserve"> A reference diagram for the </w:t>
      </w:r>
      <w:r w:rsidRPr="006A5023">
        <w:rPr>
          <w:i/>
          <w:lang w:val="en-US"/>
        </w:rPr>
        <w:t>Horizontal Hybrid approach</w:t>
      </w:r>
    </w:p>
    <w:p w14:paraId="7AF810E0" w14:textId="77777777" w:rsidR="00C534E8" w:rsidRDefault="00C534E8" w:rsidP="000F1C22">
      <w:pPr>
        <w:rPr>
          <w:bCs/>
          <w:lang w:val="en-CA"/>
        </w:rPr>
      </w:pPr>
    </w:p>
    <w:p w14:paraId="5F9D052D" w14:textId="5470B7BB" w:rsidR="00127C9F" w:rsidRDefault="0055221B" w:rsidP="0055221B">
      <w:pPr>
        <w:jc w:val="both"/>
      </w:pPr>
      <w:r>
        <w:t xml:space="preserve">MPAI is engaged in </w:t>
      </w:r>
      <w:r w:rsidR="0076691D">
        <w:t xml:space="preserve">the </w:t>
      </w:r>
      <w:r>
        <w:t xml:space="preserve">MPAI-EVC </w:t>
      </w:r>
      <w:r w:rsidR="0076691D">
        <w:t xml:space="preserve">Evidence Project seeking to find evidence that AI-based technologies provide sufficient improvement to the </w:t>
      </w:r>
      <w:r w:rsidR="0076691D" w:rsidRPr="0076691D">
        <w:t>Horizontal Hybrid approach</w:t>
      </w:r>
      <w:r w:rsidR="0076691D">
        <w:t xml:space="preserve">. A second project on </w:t>
      </w:r>
      <w:r w:rsidR="0076691D" w:rsidRPr="0076691D">
        <w:t>the Vertical Hybrid approach</w:t>
      </w:r>
      <w:r w:rsidR="0076691D">
        <w:t xml:space="preserve"> is being considered.</w:t>
      </w:r>
    </w:p>
    <w:p w14:paraId="540E65DB" w14:textId="35DF1DA1" w:rsidR="00350F4D" w:rsidRPr="002D57FF" w:rsidRDefault="00350F4D" w:rsidP="00350F4D">
      <w:pPr>
        <w:jc w:val="both"/>
      </w:pPr>
      <w:r>
        <w:t xml:space="preserve">The collection of public documents is available </w:t>
      </w:r>
      <w:hyperlink r:id="rId23" w:history="1">
        <w:r w:rsidRPr="006C797F">
          <w:rPr>
            <w:rStyle w:val="Hyperlink"/>
          </w:rPr>
          <w:t>here</w:t>
        </w:r>
      </w:hyperlink>
      <w:r>
        <w:t xml:space="preserve">. </w:t>
      </w:r>
    </w:p>
    <w:p w14:paraId="0FD9FBE2" w14:textId="77777777" w:rsidR="00D85A44" w:rsidRDefault="00D85A44" w:rsidP="00D85A44">
      <w:pPr>
        <w:pStyle w:val="Heading2"/>
        <w:jc w:val="both"/>
        <w:rPr>
          <w:lang w:val="en-GB"/>
        </w:rPr>
      </w:pPr>
      <w:r>
        <w:rPr>
          <w:lang w:val="en-GB"/>
        </w:rPr>
        <w:t>MPAI-CAV</w:t>
      </w:r>
    </w:p>
    <w:p w14:paraId="38A0CE84" w14:textId="15E88811" w:rsidR="00D85A44" w:rsidRDefault="00D85A44" w:rsidP="00D85A44">
      <w:pPr>
        <w:jc w:val="both"/>
      </w:pPr>
      <w:r w:rsidRPr="00EB081E">
        <w:rPr>
          <w:u w:val="single"/>
        </w:rPr>
        <w:t>Connected Autonomous Vehicles</w:t>
      </w:r>
      <w:r>
        <w:t xml:space="preserve"> (CAV) is a Use Case addressing the Connected Autonomous Vehicle (CAV) domain and the </w:t>
      </w:r>
      <w:r w:rsidR="002A25B6">
        <w:t>5</w:t>
      </w:r>
      <w:r>
        <w:t xml:space="preserve"> main operating instances of a CAV:</w:t>
      </w:r>
    </w:p>
    <w:p w14:paraId="52A1C893" w14:textId="77777777" w:rsidR="005C6B42" w:rsidRPr="00CC4DB1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bookmarkStart w:id="22" w:name="_Hlk72335575"/>
      <w:r w:rsidRPr="00CC4DB1">
        <w:rPr>
          <w:i/>
          <w:iCs/>
          <w:sz w:val="24"/>
          <w:szCs w:val="24"/>
        </w:rPr>
        <w:t>Human-CAV interaction</w:t>
      </w:r>
      <w:bookmarkEnd w:id="22"/>
      <w:r>
        <w:rPr>
          <w:i/>
          <w:iCs/>
          <w:sz w:val="24"/>
          <w:szCs w:val="24"/>
        </w:rPr>
        <w:t xml:space="preserve"> (HCI)</w:t>
      </w:r>
      <w:r w:rsidRPr="00CC4DB1">
        <w:rPr>
          <w:sz w:val="24"/>
          <w:szCs w:val="24"/>
        </w:rPr>
        <w:t>, i.e., the CAV subsystem that responds to humans’ com</w:t>
      </w:r>
      <w:r>
        <w:rPr>
          <w:sz w:val="24"/>
          <w:szCs w:val="24"/>
        </w:rPr>
        <w:softHyphen/>
      </w:r>
      <w:r w:rsidRPr="00CC4DB1">
        <w:rPr>
          <w:sz w:val="24"/>
          <w:szCs w:val="24"/>
        </w:rPr>
        <w:t>mands and queries, senses human activities in the CAV passenger compartment and activates other subsystems as required by humans or as deemed necessary by the identified conditions</w:t>
      </w:r>
      <w:r>
        <w:rPr>
          <w:sz w:val="24"/>
          <w:szCs w:val="24"/>
        </w:rPr>
        <w:t>.</w:t>
      </w:r>
    </w:p>
    <w:p w14:paraId="2398917C" w14:textId="77777777" w:rsidR="005C6B42" w:rsidRPr="00C41707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bookmarkStart w:id="23" w:name="_Hlk73950458"/>
      <w:r w:rsidRPr="005B0D14">
        <w:rPr>
          <w:i/>
          <w:iCs/>
          <w:sz w:val="24"/>
          <w:szCs w:val="24"/>
        </w:rPr>
        <w:t>CAV</w:t>
      </w:r>
      <w:r>
        <w:rPr>
          <w:i/>
          <w:iCs/>
          <w:sz w:val="24"/>
          <w:szCs w:val="24"/>
        </w:rPr>
        <w:t>-</w:t>
      </w:r>
      <w:r w:rsidRPr="005B0D14">
        <w:rPr>
          <w:i/>
          <w:iCs/>
          <w:sz w:val="24"/>
          <w:szCs w:val="24"/>
        </w:rPr>
        <w:t>Environment</w:t>
      </w:r>
      <w:r>
        <w:rPr>
          <w:i/>
          <w:iCs/>
          <w:sz w:val="24"/>
          <w:szCs w:val="24"/>
        </w:rPr>
        <w:t xml:space="preserve"> interaction</w:t>
      </w:r>
      <w:r>
        <w:rPr>
          <w:sz w:val="24"/>
          <w:szCs w:val="24"/>
        </w:rPr>
        <w:t>, i.e., the subsystem that acquires information from the physical environment via a variety of sensors.</w:t>
      </w:r>
    </w:p>
    <w:p w14:paraId="2F1212F9" w14:textId="77777777" w:rsidR="005C6B42" w:rsidRPr="00CC4DB1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r w:rsidRPr="00CC4DB1">
        <w:rPr>
          <w:i/>
          <w:iCs/>
          <w:sz w:val="24"/>
          <w:szCs w:val="24"/>
        </w:rPr>
        <w:t>Autonomous Motion</w:t>
      </w:r>
      <w:r>
        <w:rPr>
          <w:i/>
          <w:iCs/>
          <w:sz w:val="24"/>
          <w:szCs w:val="24"/>
        </w:rPr>
        <w:t xml:space="preserve"> Subsystem (AMS)</w:t>
      </w:r>
      <w:r w:rsidRPr="00CC4DB1">
        <w:rPr>
          <w:sz w:val="24"/>
          <w:szCs w:val="24"/>
        </w:rPr>
        <w:t xml:space="preserve">, i.e., the CAV subsystem that </w:t>
      </w:r>
      <w:r>
        <w:rPr>
          <w:sz w:val="24"/>
          <w:szCs w:val="24"/>
        </w:rPr>
        <w:t>uses different sources of information to instructs</w:t>
      </w:r>
      <w:r w:rsidRPr="00CC4DB1">
        <w:rPr>
          <w:sz w:val="24"/>
          <w:szCs w:val="24"/>
        </w:rPr>
        <w:t xml:space="preserve"> the CAV to </w:t>
      </w:r>
      <w:r>
        <w:rPr>
          <w:sz w:val="24"/>
          <w:szCs w:val="24"/>
        </w:rPr>
        <w:t xml:space="preserve">reach </w:t>
      </w:r>
      <w:r w:rsidRPr="00CC4DB1">
        <w:rPr>
          <w:sz w:val="24"/>
          <w:szCs w:val="24"/>
        </w:rPr>
        <w:t>the intended destination.</w:t>
      </w:r>
    </w:p>
    <w:p w14:paraId="636E9486" w14:textId="77777777" w:rsidR="005C6B42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r w:rsidRPr="00CC4DB1">
        <w:rPr>
          <w:i/>
          <w:iCs/>
          <w:sz w:val="24"/>
          <w:szCs w:val="24"/>
        </w:rPr>
        <w:t>CAV-</w:t>
      </w:r>
      <w:r>
        <w:rPr>
          <w:i/>
          <w:iCs/>
          <w:sz w:val="24"/>
          <w:szCs w:val="24"/>
        </w:rPr>
        <w:t>Device</w:t>
      </w:r>
      <w:r w:rsidRPr="00CC4DB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</w:t>
      </w:r>
      <w:r w:rsidRPr="00CC4DB1">
        <w:rPr>
          <w:i/>
          <w:iCs/>
          <w:sz w:val="24"/>
          <w:szCs w:val="24"/>
        </w:rPr>
        <w:t>nteraction</w:t>
      </w:r>
      <w:r>
        <w:rPr>
          <w:i/>
          <w:iCs/>
          <w:sz w:val="24"/>
          <w:szCs w:val="24"/>
        </w:rPr>
        <w:t xml:space="preserve"> (CDI)</w:t>
      </w:r>
      <w:r w:rsidRPr="00CC4DB1">
        <w:rPr>
          <w:sz w:val="24"/>
          <w:szCs w:val="24"/>
        </w:rPr>
        <w:t>, i.e., the subsystem that communicates with sources of external information, including other CAVs, Roadside Units (RSU)</w:t>
      </w:r>
      <w:r>
        <w:rPr>
          <w:sz w:val="24"/>
          <w:szCs w:val="24"/>
        </w:rPr>
        <w:t>, other vehicles</w:t>
      </w:r>
      <w:r w:rsidRPr="00CC4DB1">
        <w:rPr>
          <w:sz w:val="24"/>
          <w:szCs w:val="24"/>
        </w:rPr>
        <w:t xml:space="preserve"> etc.</w:t>
      </w:r>
    </w:p>
    <w:bookmarkEnd w:id="23"/>
    <w:p w14:paraId="2444D01E" w14:textId="78B76483" w:rsidR="005C6B42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r w:rsidRPr="00C96C12">
        <w:rPr>
          <w:i/>
          <w:iCs/>
          <w:sz w:val="24"/>
          <w:szCs w:val="24"/>
        </w:rPr>
        <w:t>Motion Actuation Subsystem (MAS)</w:t>
      </w:r>
      <w:r>
        <w:rPr>
          <w:sz w:val="24"/>
          <w:szCs w:val="24"/>
        </w:rPr>
        <w:t>, i.e.</w:t>
      </w:r>
      <w:r w:rsidR="002A25B6">
        <w:rPr>
          <w:sz w:val="24"/>
          <w:szCs w:val="24"/>
        </w:rPr>
        <w:t>,</w:t>
      </w:r>
      <w:r>
        <w:rPr>
          <w:sz w:val="24"/>
          <w:szCs w:val="24"/>
        </w:rPr>
        <w:t xml:space="preserve"> the subsystem that operates and actuates the motion instructions in the physical world.</w:t>
      </w:r>
    </w:p>
    <w:p w14:paraId="7EF0D6E7" w14:textId="70DAF00E" w:rsidR="005C6B42" w:rsidRDefault="005C6B42" w:rsidP="005C6B42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interaction of the 5 subsystems in depicted in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_Ref76890391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74208" w:rsidRPr="00FC31AD">
        <w:rPr>
          <w:i/>
          <w:sz w:val="24"/>
          <w:szCs w:val="24"/>
        </w:rPr>
        <w:t xml:space="preserve">Figure </w:t>
      </w:r>
      <w:r w:rsidR="00174208">
        <w:rPr>
          <w:i/>
          <w:noProof/>
          <w:sz w:val="24"/>
          <w:szCs w:val="24"/>
        </w:rPr>
        <w:t>9</w:t>
      </w:r>
      <w:r>
        <w:rPr>
          <w:sz w:val="24"/>
          <w:szCs w:val="24"/>
        </w:rPr>
        <w:fldChar w:fldCharType="end"/>
      </w:r>
    </w:p>
    <w:p w14:paraId="78714B1C" w14:textId="2E7D28D8" w:rsidR="005C6B42" w:rsidRDefault="00C42797" w:rsidP="005C6B42">
      <w:pPr>
        <w:pStyle w:val="CommentTex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72045E0" wp14:editId="791179DE">
            <wp:extent cx="5933440" cy="2326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604B" w14:textId="18952370" w:rsidR="005C6B42" w:rsidRPr="00F25927" w:rsidRDefault="005C6B42" w:rsidP="005C6B42">
      <w:pPr>
        <w:pStyle w:val="CommentText"/>
        <w:jc w:val="center"/>
        <w:rPr>
          <w:iCs/>
          <w:sz w:val="24"/>
          <w:szCs w:val="24"/>
        </w:rPr>
      </w:pPr>
      <w:bookmarkStart w:id="24" w:name="_Ref76890391"/>
      <w:bookmarkStart w:id="25" w:name="_Ref76889410"/>
      <w:r w:rsidRPr="00FC31AD">
        <w:rPr>
          <w:i/>
          <w:sz w:val="24"/>
          <w:szCs w:val="24"/>
        </w:rPr>
        <w:t xml:space="preserve">Figure </w:t>
      </w:r>
      <w:r w:rsidRPr="00FC31AD">
        <w:rPr>
          <w:i/>
          <w:sz w:val="24"/>
          <w:szCs w:val="24"/>
        </w:rPr>
        <w:fldChar w:fldCharType="begin"/>
      </w:r>
      <w:r w:rsidRPr="00FC31AD">
        <w:rPr>
          <w:i/>
          <w:sz w:val="24"/>
          <w:szCs w:val="24"/>
        </w:rPr>
        <w:instrText xml:space="preserve"> SEQ Figure \* ARABIC </w:instrText>
      </w:r>
      <w:r w:rsidRPr="00FC31AD">
        <w:rPr>
          <w:i/>
          <w:sz w:val="24"/>
          <w:szCs w:val="24"/>
        </w:rPr>
        <w:fldChar w:fldCharType="separate"/>
      </w:r>
      <w:r w:rsidR="00174208">
        <w:rPr>
          <w:i/>
          <w:noProof/>
          <w:sz w:val="24"/>
          <w:szCs w:val="24"/>
        </w:rPr>
        <w:t>9</w:t>
      </w:r>
      <w:r w:rsidRPr="00FC31AD">
        <w:rPr>
          <w:i/>
          <w:sz w:val="24"/>
          <w:szCs w:val="24"/>
        </w:rPr>
        <w:fldChar w:fldCharType="end"/>
      </w:r>
      <w:bookmarkEnd w:id="24"/>
      <w:r w:rsidRPr="00FC31AD">
        <w:rPr>
          <w:i/>
          <w:sz w:val="24"/>
          <w:szCs w:val="24"/>
        </w:rPr>
        <w:t xml:space="preserve"> – The </w:t>
      </w:r>
      <w:r>
        <w:rPr>
          <w:i/>
          <w:sz w:val="24"/>
          <w:szCs w:val="24"/>
        </w:rPr>
        <w:t>CAV subsystems</w:t>
      </w:r>
      <w:bookmarkEnd w:id="25"/>
    </w:p>
    <w:p w14:paraId="21F1493F" w14:textId="77777777" w:rsidR="00D85A44" w:rsidRDefault="00D85A44" w:rsidP="00D85A44">
      <w:pPr>
        <w:jc w:val="both"/>
      </w:pPr>
    </w:p>
    <w:p w14:paraId="0DD48ED5" w14:textId="03AEFD27" w:rsidR="00C42797" w:rsidRPr="002D57FF" w:rsidRDefault="00C42797" w:rsidP="00C42797">
      <w:pPr>
        <w:jc w:val="both"/>
      </w:pPr>
      <w:r>
        <w:t xml:space="preserve">The collection of public documents is available </w:t>
      </w:r>
      <w:hyperlink r:id="rId25" w:history="1">
        <w:r w:rsidRPr="006C797F">
          <w:rPr>
            <w:rStyle w:val="Hyperlink"/>
          </w:rPr>
          <w:t>here</w:t>
        </w:r>
      </w:hyperlink>
      <w:r>
        <w:t xml:space="preserve">. </w:t>
      </w:r>
    </w:p>
    <w:p w14:paraId="58762913" w14:textId="77777777" w:rsidR="001F7CC2" w:rsidRDefault="001F7CC2" w:rsidP="001F7CC2">
      <w:pPr>
        <w:pStyle w:val="Heading2"/>
        <w:rPr>
          <w:lang w:val="en-GB"/>
        </w:rPr>
      </w:pPr>
      <w:r>
        <w:rPr>
          <w:lang w:val="en-GB"/>
        </w:rPr>
        <w:t>Mixed-Reality Collaborative Spaces</w:t>
      </w:r>
    </w:p>
    <w:p w14:paraId="10B53343" w14:textId="1B3B99F1" w:rsidR="001F7CC2" w:rsidRDefault="001F7CC2" w:rsidP="001F7CC2">
      <w:pPr>
        <w:jc w:val="both"/>
      </w:pPr>
      <w:r>
        <w:t>New technologies are emerging which equip developers to deliver mixed-reality collaborative space (MCS) scenarios where biomedical, scientific, and industrial sensor streams and recordings are to be viewed.</w:t>
      </w:r>
      <w:r w:rsidR="001A517F">
        <w:t xml:space="preserve"> </w:t>
      </w:r>
      <w:r>
        <w:t xml:space="preserve">Artificial </w:t>
      </w:r>
      <w:r w:rsidR="001A517F">
        <w:t>I</w:t>
      </w:r>
      <w:r>
        <w:t xml:space="preserve">ntelligence can be utilized throughout MCS systems for </w:t>
      </w:r>
      <w:r w:rsidRPr="00400479">
        <w:t>immersive presence, spatial maps</w:t>
      </w:r>
      <w:r>
        <w:t xml:space="preserve"> (e.g. Lidar scans, inside-out tracking)</w:t>
      </w:r>
      <w:r w:rsidRPr="00400479">
        <w:t xml:space="preserve"> rendering, and multiuser sync</w:t>
      </w:r>
      <w:r>
        <w:t>hroni</w:t>
      </w:r>
      <w:r w:rsidR="001A517F">
        <w:t>s</w:t>
      </w:r>
      <w:r w:rsidR="001A517F">
        <w:softHyphen/>
      </w:r>
      <w:r>
        <w:t>ation etc.</w:t>
      </w:r>
    </w:p>
    <w:p w14:paraId="795606C8" w14:textId="6E8D980E" w:rsidR="00A2468F" w:rsidRDefault="0067041C" w:rsidP="001F7CC2">
      <w:pPr>
        <w:jc w:val="both"/>
      </w:pPr>
      <w:r>
        <w:fldChar w:fldCharType="begin"/>
      </w:r>
      <w:r>
        <w:instrText xml:space="preserve"> REF _Ref83544301 \h </w:instrText>
      </w:r>
      <w:r>
        <w:fldChar w:fldCharType="separate"/>
      </w:r>
      <w:r w:rsidRPr="00FC31AD">
        <w:rPr>
          <w:i/>
        </w:rPr>
        <w:t xml:space="preserve">Figure </w:t>
      </w:r>
      <w:r>
        <w:rPr>
          <w:i/>
          <w:noProof/>
        </w:rPr>
        <w:t>10</w:t>
      </w:r>
      <w:r>
        <w:fldChar w:fldCharType="end"/>
      </w:r>
      <w:r>
        <w:t xml:space="preserve"> depicts one </w:t>
      </w:r>
      <w:r w:rsidR="00A2468F">
        <w:t>Use Case being considered “</w:t>
      </w:r>
      <w:r w:rsidR="00A2468F" w:rsidRPr="00DF026B">
        <w:t xml:space="preserve">Avatar videoconference in </w:t>
      </w:r>
      <w:r w:rsidR="00A2468F">
        <w:t xml:space="preserve">a local </w:t>
      </w:r>
      <w:r w:rsidR="00A2468F" w:rsidRPr="00DF026B">
        <w:t>3D audio-visual space</w:t>
      </w:r>
      <w:r w:rsidR="00A2468F">
        <w:t>”</w:t>
      </w:r>
      <w:r w:rsidR="000D7046">
        <w:t xml:space="preserve"> </w:t>
      </w:r>
    </w:p>
    <w:p w14:paraId="5A675B6A" w14:textId="4A2AE173" w:rsidR="000D7046" w:rsidRDefault="000D7046" w:rsidP="001F7CC2">
      <w:pPr>
        <w:jc w:val="both"/>
      </w:pPr>
    </w:p>
    <w:p w14:paraId="6A17E0DA" w14:textId="74562CEF" w:rsidR="000D7046" w:rsidRDefault="000D7046" w:rsidP="000D7046">
      <w:pPr>
        <w:jc w:val="center"/>
      </w:pPr>
      <w:r>
        <w:rPr>
          <w:noProof/>
        </w:rPr>
        <w:drawing>
          <wp:inline distT="0" distB="0" distL="0" distR="0" wp14:anchorId="4592F15C" wp14:editId="7ED2B427">
            <wp:extent cx="5937885" cy="3497580"/>
            <wp:effectExtent l="0" t="0" r="571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CF969" w14:textId="77777777" w:rsidR="000D7046" w:rsidRDefault="000D7046" w:rsidP="001F7CC2">
      <w:pPr>
        <w:jc w:val="both"/>
      </w:pPr>
    </w:p>
    <w:p w14:paraId="03D5F667" w14:textId="1816E362" w:rsidR="000D7046" w:rsidRPr="00F25927" w:rsidRDefault="000D7046" w:rsidP="000D7046">
      <w:pPr>
        <w:pStyle w:val="CommentText"/>
        <w:jc w:val="center"/>
        <w:rPr>
          <w:iCs/>
          <w:sz w:val="24"/>
          <w:szCs w:val="24"/>
        </w:rPr>
      </w:pPr>
      <w:bookmarkStart w:id="26" w:name="_Ref83544301"/>
      <w:r w:rsidRPr="00FC31AD">
        <w:rPr>
          <w:i/>
          <w:sz w:val="24"/>
          <w:szCs w:val="24"/>
        </w:rPr>
        <w:t xml:space="preserve">Figure </w:t>
      </w:r>
      <w:r w:rsidRPr="00FC31AD">
        <w:rPr>
          <w:i/>
          <w:sz w:val="24"/>
          <w:szCs w:val="24"/>
        </w:rPr>
        <w:fldChar w:fldCharType="begin"/>
      </w:r>
      <w:r w:rsidRPr="00FC31AD">
        <w:rPr>
          <w:i/>
          <w:sz w:val="24"/>
          <w:szCs w:val="24"/>
        </w:rPr>
        <w:instrText xml:space="preserve"> SEQ Figure \* ARABIC </w:instrText>
      </w:r>
      <w:r w:rsidRPr="00FC31AD">
        <w:rPr>
          <w:i/>
          <w:sz w:val="24"/>
          <w:szCs w:val="24"/>
        </w:rPr>
        <w:fldChar w:fldCharType="separate"/>
      </w:r>
      <w:r w:rsidR="00174208">
        <w:rPr>
          <w:i/>
          <w:noProof/>
          <w:sz w:val="24"/>
          <w:szCs w:val="24"/>
        </w:rPr>
        <w:t>10</w:t>
      </w:r>
      <w:r w:rsidRPr="00FC31AD">
        <w:rPr>
          <w:i/>
          <w:sz w:val="24"/>
          <w:szCs w:val="24"/>
        </w:rPr>
        <w:fldChar w:fldCharType="end"/>
      </w:r>
      <w:bookmarkEnd w:id="26"/>
      <w:r w:rsidRPr="00FC31AD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An avatar-based videoconference model (participant)</w:t>
      </w:r>
    </w:p>
    <w:p w14:paraId="09A46C28" w14:textId="77777777" w:rsidR="000D7046" w:rsidRDefault="000D7046" w:rsidP="001F7CC2">
      <w:pPr>
        <w:jc w:val="both"/>
      </w:pPr>
    </w:p>
    <w:p w14:paraId="397B39DE" w14:textId="45F095D2" w:rsidR="0067041C" w:rsidRPr="002D57FF" w:rsidRDefault="0067041C" w:rsidP="0067041C">
      <w:pPr>
        <w:jc w:val="both"/>
      </w:pPr>
      <w:r>
        <w:t xml:space="preserve">The collection of public documents is available </w:t>
      </w:r>
      <w:hyperlink r:id="rId27" w:history="1">
        <w:r w:rsidRPr="006C797F">
          <w:rPr>
            <w:rStyle w:val="Hyperlink"/>
          </w:rPr>
          <w:t>here</w:t>
        </w:r>
      </w:hyperlink>
      <w:r>
        <w:t xml:space="preserve">. </w:t>
      </w:r>
    </w:p>
    <w:p w14:paraId="7435F932" w14:textId="77777777" w:rsidR="00260276" w:rsidRDefault="00260276" w:rsidP="00260276">
      <w:pPr>
        <w:pStyle w:val="Heading2"/>
      </w:pPr>
      <w:r>
        <w:lastRenderedPageBreak/>
        <w:t>MPAI-GSA</w:t>
      </w:r>
    </w:p>
    <w:p w14:paraId="55A5E820" w14:textId="77777777" w:rsidR="00260276" w:rsidRDefault="00260276" w:rsidP="00260276">
      <w:pPr>
        <w:jc w:val="both"/>
      </w:pPr>
      <w:r w:rsidRPr="002D5C5E">
        <w:rPr>
          <w:u w:val="single"/>
        </w:rPr>
        <w:t xml:space="preserve">Integrative </w:t>
      </w:r>
      <w:r>
        <w:rPr>
          <w:u w:val="single"/>
        </w:rPr>
        <w:t>G</w:t>
      </w:r>
      <w:r w:rsidRPr="002D5C5E">
        <w:rPr>
          <w:u w:val="single"/>
        </w:rPr>
        <w:t>enomic/</w:t>
      </w:r>
      <w:r>
        <w:rPr>
          <w:u w:val="single"/>
        </w:rPr>
        <w:t>S</w:t>
      </w:r>
      <w:r w:rsidRPr="002D5C5E">
        <w:rPr>
          <w:u w:val="single"/>
        </w:rPr>
        <w:t xml:space="preserve">ensor </w:t>
      </w:r>
      <w:r>
        <w:rPr>
          <w:u w:val="single"/>
        </w:rPr>
        <w:t>A</w:t>
      </w:r>
      <w:r w:rsidRPr="002D5C5E">
        <w:rPr>
          <w:u w:val="single"/>
        </w:rPr>
        <w:t>nalysis</w:t>
      </w:r>
      <w:r>
        <w:t xml:space="preserve"> (</w:t>
      </w:r>
      <w:r w:rsidRPr="002D5C5E">
        <w:t>MPAI-GSA)</w:t>
      </w:r>
      <w:r w:rsidRPr="00BA41C6">
        <w:t xml:space="preserve"> uses AI to understand and compress the res</w:t>
      </w:r>
      <w:r>
        <w:softHyphen/>
      </w:r>
      <w:r w:rsidRPr="00BA41C6">
        <w:t>ult of high-throughput experiments combining genomic/proteomic and other data</w:t>
      </w:r>
      <w:r>
        <w:t>, e.g.,</w:t>
      </w:r>
      <w:r w:rsidRPr="00BA41C6">
        <w:t xml:space="preserve"> from video, motion, location, weather, medical sensors.</w:t>
      </w:r>
    </w:p>
    <w:p w14:paraId="530F29CA" w14:textId="329D5D6C" w:rsidR="00260276" w:rsidRDefault="00260276" w:rsidP="00260276">
      <w:pPr>
        <w:jc w:val="both"/>
      </w:pPr>
      <w:r>
        <w:rPr>
          <w:color w:val="000000" w:themeColor="text1"/>
        </w:rPr>
        <w:fldChar w:fldCharType="begin"/>
      </w:r>
      <w:r>
        <w:instrText xml:space="preserve"> REF _Ref7073800 \h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174208">
        <w:rPr>
          <w:i/>
          <w:lang w:val="en-US"/>
        </w:rPr>
        <w:t xml:space="preserve">Figure </w:t>
      </w:r>
      <w:r w:rsidR="00174208">
        <w:rPr>
          <w:i/>
          <w:noProof/>
          <w:lang w:val="en-US"/>
        </w:rPr>
        <w:t>11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addresses the Smart Farming Use Case.</w:t>
      </w:r>
    </w:p>
    <w:p w14:paraId="07C31010" w14:textId="77777777" w:rsidR="00260276" w:rsidRDefault="00260276" w:rsidP="00260276"/>
    <w:p w14:paraId="614BFBF2" w14:textId="77777777" w:rsidR="00260276" w:rsidRDefault="00260276" w:rsidP="00260276">
      <w:pPr>
        <w:jc w:val="center"/>
      </w:pPr>
      <w:r>
        <w:rPr>
          <w:noProof/>
        </w:rPr>
        <w:drawing>
          <wp:inline distT="0" distB="0" distL="0" distR="0" wp14:anchorId="085D58C1" wp14:editId="00229C8A">
            <wp:extent cx="5937885" cy="2701925"/>
            <wp:effectExtent l="0" t="0" r="5715" b="317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4D5A" w14:textId="394318BD" w:rsidR="00260276" w:rsidRDefault="00260276" w:rsidP="00260276">
      <w:pPr>
        <w:jc w:val="center"/>
        <w:rPr>
          <w:i/>
          <w:lang w:val="en-US"/>
        </w:rPr>
      </w:pPr>
      <w:bookmarkStart w:id="27" w:name="_Ref7073800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174208">
        <w:rPr>
          <w:i/>
          <w:noProof/>
          <w:lang w:val="en-US"/>
        </w:rPr>
        <w:t>11</w:t>
      </w:r>
      <w:r>
        <w:fldChar w:fldCharType="end"/>
      </w:r>
      <w:bookmarkEnd w:id="27"/>
      <w:r>
        <w:t xml:space="preserve"> –</w:t>
      </w:r>
      <w:r>
        <w:rPr>
          <w:i/>
          <w:lang w:val="en-US"/>
        </w:rPr>
        <w:t xml:space="preserve"> An </w:t>
      </w:r>
      <w:r w:rsidRPr="006A5023">
        <w:rPr>
          <w:i/>
          <w:lang w:val="en-US"/>
        </w:rPr>
        <w:t>MPAI-</w:t>
      </w:r>
      <w:r>
        <w:rPr>
          <w:i/>
          <w:lang w:val="en-US"/>
        </w:rPr>
        <w:t>GSA Use Case: Smart Framing</w:t>
      </w:r>
    </w:p>
    <w:p w14:paraId="06DF8452" w14:textId="77777777" w:rsidR="0012402B" w:rsidRDefault="0012402B" w:rsidP="0012402B">
      <w:pPr>
        <w:jc w:val="both"/>
      </w:pPr>
    </w:p>
    <w:p w14:paraId="05372150" w14:textId="61F1EABF" w:rsidR="0012402B" w:rsidRPr="002D57FF" w:rsidRDefault="0012402B" w:rsidP="0012402B">
      <w:pPr>
        <w:jc w:val="both"/>
      </w:pPr>
      <w:r>
        <w:t xml:space="preserve">The collection of public documents is available </w:t>
      </w:r>
      <w:hyperlink r:id="rId29" w:history="1">
        <w:r w:rsidRPr="006C797F">
          <w:rPr>
            <w:rStyle w:val="Hyperlink"/>
          </w:rPr>
          <w:t>here</w:t>
        </w:r>
      </w:hyperlink>
      <w:r>
        <w:t xml:space="preserve">. </w:t>
      </w:r>
    </w:p>
    <w:p w14:paraId="6EDF5ADA" w14:textId="77777777" w:rsidR="00D56DCD" w:rsidRDefault="00D56DCD" w:rsidP="00D56DCD">
      <w:pPr>
        <w:pStyle w:val="Heading1"/>
      </w:pPr>
      <w:r>
        <w:t>Areas at stage 1 (UC)</w:t>
      </w:r>
    </w:p>
    <w:p w14:paraId="5855CDD1" w14:textId="77777777" w:rsidR="00D56DCD" w:rsidRDefault="00D56DCD" w:rsidP="00D56DCD">
      <w:pPr>
        <w:pStyle w:val="Heading2"/>
        <w:rPr>
          <w:lang w:val="en-GB"/>
        </w:rPr>
      </w:pPr>
      <w:r>
        <w:rPr>
          <w:lang w:val="en-GB"/>
        </w:rPr>
        <w:t>MPAI-OSD</w:t>
      </w:r>
    </w:p>
    <w:p w14:paraId="6EC5A2F7" w14:textId="0F16FE8C" w:rsidR="00D56DCD" w:rsidRPr="009725D7" w:rsidRDefault="00D56DCD" w:rsidP="00D56DCD">
      <w:pPr>
        <w:jc w:val="both"/>
      </w:pPr>
      <w:r w:rsidRPr="00A016BC">
        <w:rPr>
          <w:u w:val="single"/>
        </w:rPr>
        <w:t>Visual object and scene description</w:t>
      </w:r>
      <w:r w:rsidRPr="009725D7">
        <w:t xml:space="preserve"> </w:t>
      </w:r>
      <w:r w:rsidR="00C50D88">
        <w:t xml:space="preserve">is a collection of Use Cases sharing the goal of describe visual object and locate them in the space. </w:t>
      </w:r>
      <w:r>
        <w:t>S</w:t>
      </w:r>
      <w:r w:rsidRPr="009725D7">
        <w:t>cene description includes the usual des</w:t>
      </w:r>
      <w:r>
        <w:softHyphen/>
      </w:r>
      <w:r w:rsidRPr="009725D7">
        <w:t>cription of objects and their attributes in a scene and the semantic description of the objects.</w:t>
      </w:r>
    </w:p>
    <w:p w14:paraId="2F09C7FB" w14:textId="332A1344" w:rsidR="00D56DCD" w:rsidRDefault="00D56DCD" w:rsidP="00D56DCD">
      <w:pPr>
        <w:jc w:val="both"/>
      </w:pPr>
      <w:r>
        <w:t>Unlike p</w:t>
      </w:r>
      <w:r w:rsidRPr="009725D7">
        <w:t xml:space="preserve">roprietary solutions </w:t>
      </w:r>
      <w:r>
        <w:t>that</w:t>
      </w:r>
      <w:r w:rsidRPr="009725D7">
        <w:t xml:space="preserve"> address the needs of the use cases</w:t>
      </w:r>
      <w:r>
        <w:t xml:space="preserve"> but </w:t>
      </w:r>
      <w:r w:rsidRPr="009725D7">
        <w:t>lack interoperability or forc</w:t>
      </w:r>
      <w:r>
        <w:t>e</w:t>
      </w:r>
      <w:r w:rsidRPr="009725D7">
        <w:t xml:space="preserve"> all users to adopt a single technology or application</w:t>
      </w:r>
      <w:r>
        <w:t>, a</w:t>
      </w:r>
      <w:r w:rsidRPr="009725D7">
        <w:t xml:space="preserve"> standard representation of the ob</w:t>
      </w:r>
      <w:r>
        <w:softHyphen/>
      </w:r>
      <w:r w:rsidRPr="009725D7">
        <w:t>jects in a scene allows for better satif</w:t>
      </w:r>
      <w:r>
        <w:t>action of</w:t>
      </w:r>
      <w:r w:rsidRPr="009725D7">
        <w:t xml:space="preserve"> the requirements.</w:t>
      </w:r>
    </w:p>
    <w:p w14:paraId="44042196" w14:textId="18D5384F" w:rsidR="00717849" w:rsidRPr="002D57FF" w:rsidRDefault="00717849" w:rsidP="00717849">
      <w:pPr>
        <w:jc w:val="both"/>
      </w:pPr>
      <w:r>
        <w:t xml:space="preserve">The collection of public documents is available </w:t>
      </w:r>
      <w:hyperlink r:id="rId30" w:history="1">
        <w:r w:rsidRPr="006C797F">
          <w:rPr>
            <w:rStyle w:val="Hyperlink"/>
          </w:rPr>
          <w:t>here</w:t>
        </w:r>
      </w:hyperlink>
      <w:r>
        <w:t xml:space="preserve">. </w:t>
      </w:r>
    </w:p>
    <w:p w14:paraId="46845943" w14:textId="2E32C2CB" w:rsidR="00D80D33" w:rsidRDefault="002F1C9A" w:rsidP="00D80D33">
      <w:pPr>
        <w:pStyle w:val="Heading1"/>
      </w:pPr>
      <w:r>
        <w:t xml:space="preserve">Areas at stage 0 </w:t>
      </w:r>
      <w:r w:rsidR="00447163">
        <w:t>(IC)</w:t>
      </w:r>
    </w:p>
    <w:p w14:paraId="6C67A80E" w14:textId="083798F7" w:rsidR="00447163" w:rsidRPr="00447163" w:rsidRDefault="00447163" w:rsidP="00447163">
      <w:pPr>
        <w:pStyle w:val="Heading2"/>
      </w:pPr>
      <w:r>
        <w:rPr>
          <w:lang w:val="en-GB"/>
        </w:rPr>
        <w:t>MPAI-EEV</w:t>
      </w:r>
    </w:p>
    <w:bookmarkEnd w:id="4"/>
    <w:p w14:paraId="1A90FFEC" w14:textId="49462980" w:rsidR="00F03528" w:rsidRDefault="005C45D3" w:rsidP="005C45D3">
      <w:pPr>
        <w:jc w:val="both"/>
      </w:pPr>
      <w:r w:rsidRPr="005C45D3">
        <w:t xml:space="preserve">There is consensus in the video coding research community that </w:t>
      </w:r>
      <w:r w:rsidR="007404A6">
        <w:t xml:space="preserve">the </w:t>
      </w:r>
      <w:r w:rsidRPr="005C45D3">
        <w:t>so-called End-to-End (E2E) video coding schemes can yield significantly higher performance</w:t>
      </w:r>
      <w:r w:rsidR="007404A6">
        <w:t xml:space="preserve"> than those target, e.g., by MPAI-EVC</w:t>
      </w:r>
      <w:r w:rsidRPr="005C45D3">
        <w:t xml:space="preserve">. </w:t>
      </w:r>
      <w:r w:rsidR="001F0B0B">
        <w:t>AI-based End-to-End Video Coding</w:t>
      </w:r>
      <w:r w:rsidR="00717849">
        <w:t xml:space="preserve"> intends to address this promising area.</w:t>
      </w:r>
    </w:p>
    <w:p w14:paraId="257E0F4B" w14:textId="3C950B8F" w:rsidR="00717849" w:rsidRPr="002D57FF" w:rsidRDefault="00717849" w:rsidP="00717849">
      <w:pPr>
        <w:jc w:val="both"/>
      </w:pPr>
      <w:r>
        <w:t xml:space="preserve">The collection of public documents is available </w:t>
      </w:r>
      <w:hyperlink r:id="rId31" w:history="1">
        <w:r w:rsidRPr="006C797F">
          <w:rPr>
            <w:rStyle w:val="Hyperlink"/>
          </w:rPr>
          <w:t>here</w:t>
        </w:r>
      </w:hyperlink>
      <w:r>
        <w:t xml:space="preserve">. </w:t>
      </w:r>
    </w:p>
    <w:p w14:paraId="23B302C5" w14:textId="77777777" w:rsidR="00717849" w:rsidRPr="00B2147F" w:rsidRDefault="00717849" w:rsidP="005C45D3">
      <w:pPr>
        <w:jc w:val="both"/>
      </w:pPr>
    </w:p>
    <w:sectPr w:rsidR="00717849" w:rsidRPr="00B2147F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charset w:val="00"/>
    <w:family w:val="roman"/>
    <w:pitch w:val="variable"/>
  </w:font>
  <w:font w:name="Nimbus Sans L"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054"/>
    <w:multiLevelType w:val="hybridMultilevel"/>
    <w:tmpl w:val="9E4C52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740A1"/>
    <w:multiLevelType w:val="hybridMultilevel"/>
    <w:tmpl w:val="89981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67C5F"/>
    <w:multiLevelType w:val="hybridMultilevel"/>
    <w:tmpl w:val="2DFEC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33759E6"/>
    <w:multiLevelType w:val="hybridMultilevel"/>
    <w:tmpl w:val="2DD240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C2E59"/>
    <w:multiLevelType w:val="hybridMultilevel"/>
    <w:tmpl w:val="2DFEC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26B1C"/>
    <w:multiLevelType w:val="hybridMultilevel"/>
    <w:tmpl w:val="CE5664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10383"/>
    <w:multiLevelType w:val="hybridMultilevel"/>
    <w:tmpl w:val="D09A5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75CA7"/>
    <w:multiLevelType w:val="hybridMultilevel"/>
    <w:tmpl w:val="79AA05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16358"/>
    <w:multiLevelType w:val="hybridMultilevel"/>
    <w:tmpl w:val="2DFEC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570F60"/>
    <w:multiLevelType w:val="hybridMultilevel"/>
    <w:tmpl w:val="1550DD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2C7E15"/>
    <w:multiLevelType w:val="hybridMultilevel"/>
    <w:tmpl w:val="E87C7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0860A7E"/>
    <w:multiLevelType w:val="hybridMultilevel"/>
    <w:tmpl w:val="E87C7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42467F"/>
    <w:multiLevelType w:val="hybridMultilevel"/>
    <w:tmpl w:val="199E4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24861"/>
    <w:multiLevelType w:val="hybridMultilevel"/>
    <w:tmpl w:val="E87C7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AB2927"/>
    <w:multiLevelType w:val="hybridMultilevel"/>
    <w:tmpl w:val="CE5664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BC4EED"/>
    <w:multiLevelType w:val="hybridMultilevel"/>
    <w:tmpl w:val="2DFEC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4"/>
  </w:num>
  <w:num w:numId="7">
    <w:abstractNumId w:val="8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7"/>
  </w:num>
  <w:num w:numId="1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68"/>
    <w:rsid w:val="00002217"/>
    <w:rsid w:val="0001512E"/>
    <w:rsid w:val="00020C69"/>
    <w:rsid w:val="0002499C"/>
    <w:rsid w:val="00030AD0"/>
    <w:rsid w:val="00032A0E"/>
    <w:rsid w:val="000360D3"/>
    <w:rsid w:val="00044374"/>
    <w:rsid w:val="00045D8C"/>
    <w:rsid w:val="00057DA2"/>
    <w:rsid w:val="0006001F"/>
    <w:rsid w:val="00064720"/>
    <w:rsid w:val="00066468"/>
    <w:rsid w:val="000778F8"/>
    <w:rsid w:val="00080DAC"/>
    <w:rsid w:val="00086B37"/>
    <w:rsid w:val="00093F5A"/>
    <w:rsid w:val="0009554D"/>
    <w:rsid w:val="000A0992"/>
    <w:rsid w:val="000B3CA3"/>
    <w:rsid w:val="000C5808"/>
    <w:rsid w:val="000D430D"/>
    <w:rsid w:val="000D58DC"/>
    <w:rsid w:val="000D61C9"/>
    <w:rsid w:val="000D7046"/>
    <w:rsid w:val="000E347D"/>
    <w:rsid w:val="000E5440"/>
    <w:rsid w:val="000E6185"/>
    <w:rsid w:val="000E6AA6"/>
    <w:rsid w:val="000F1C22"/>
    <w:rsid w:val="000F2AA8"/>
    <w:rsid w:val="00104DD9"/>
    <w:rsid w:val="0012146B"/>
    <w:rsid w:val="0012402B"/>
    <w:rsid w:val="00124211"/>
    <w:rsid w:val="00125F4E"/>
    <w:rsid w:val="001273A5"/>
    <w:rsid w:val="001279D1"/>
    <w:rsid w:val="00127C9F"/>
    <w:rsid w:val="001302B6"/>
    <w:rsid w:val="0013302C"/>
    <w:rsid w:val="001347D5"/>
    <w:rsid w:val="001375E7"/>
    <w:rsid w:val="001426B3"/>
    <w:rsid w:val="00145A6B"/>
    <w:rsid w:val="00146509"/>
    <w:rsid w:val="00147FE2"/>
    <w:rsid w:val="0015021D"/>
    <w:rsid w:val="00150931"/>
    <w:rsid w:val="00151142"/>
    <w:rsid w:val="00155271"/>
    <w:rsid w:val="001676B9"/>
    <w:rsid w:val="00171211"/>
    <w:rsid w:val="00174208"/>
    <w:rsid w:val="0017476B"/>
    <w:rsid w:val="00184896"/>
    <w:rsid w:val="001920B7"/>
    <w:rsid w:val="00197EBA"/>
    <w:rsid w:val="001A13E2"/>
    <w:rsid w:val="001A37B3"/>
    <w:rsid w:val="001A517F"/>
    <w:rsid w:val="001A60D5"/>
    <w:rsid w:val="001A77B5"/>
    <w:rsid w:val="001C122D"/>
    <w:rsid w:val="001C2B74"/>
    <w:rsid w:val="001C4CCD"/>
    <w:rsid w:val="001D56A9"/>
    <w:rsid w:val="001E1316"/>
    <w:rsid w:val="001E1BF8"/>
    <w:rsid w:val="001E4B8A"/>
    <w:rsid w:val="001E6EEC"/>
    <w:rsid w:val="001E7B37"/>
    <w:rsid w:val="001F0B0B"/>
    <w:rsid w:val="001F3C5D"/>
    <w:rsid w:val="001F7CC2"/>
    <w:rsid w:val="00221F51"/>
    <w:rsid w:val="00230954"/>
    <w:rsid w:val="00235528"/>
    <w:rsid w:val="002410A7"/>
    <w:rsid w:val="00245B0F"/>
    <w:rsid w:val="002472FE"/>
    <w:rsid w:val="00260276"/>
    <w:rsid w:val="002653A9"/>
    <w:rsid w:val="00272D6B"/>
    <w:rsid w:val="002739A4"/>
    <w:rsid w:val="0027609B"/>
    <w:rsid w:val="002766C2"/>
    <w:rsid w:val="002869A6"/>
    <w:rsid w:val="00286C15"/>
    <w:rsid w:val="0028710D"/>
    <w:rsid w:val="002A25B6"/>
    <w:rsid w:val="002A6BFB"/>
    <w:rsid w:val="002B2FD2"/>
    <w:rsid w:val="002B6E43"/>
    <w:rsid w:val="002B70A0"/>
    <w:rsid w:val="002C7F0F"/>
    <w:rsid w:val="002D3F65"/>
    <w:rsid w:val="002D53ED"/>
    <w:rsid w:val="002D57FF"/>
    <w:rsid w:val="002D5BA5"/>
    <w:rsid w:val="002D5C5E"/>
    <w:rsid w:val="002D7993"/>
    <w:rsid w:val="002E02B6"/>
    <w:rsid w:val="002E2F53"/>
    <w:rsid w:val="002F1C9A"/>
    <w:rsid w:val="002F3EEE"/>
    <w:rsid w:val="002F7014"/>
    <w:rsid w:val="003041D6"/>
    <w:rsid w:val="0030631B"/>
    <w:rsid w:val="00317A4B"/>
    <w:rsid w:val="00327760"/>
    <w:rsid w:val="0033190F"/>
    <w:rsid w:val="00342B7A"/>
    <w:rsid w:val="00350F4D"/>
    <w:rsid w:val="003573DE"/>
    <w:rsid w:val="00365DDA"/>
    <w:rsid w:val="0036721F"/>
    <w:rsid w:val="00373451"/>
    <w:rsid w:val="00385EA4"/>
    <w:rsid w:val="00391E9B"/>
    <w:rsid w:val="00396830"/>
    <w:rsid w:val="003976B4"/>
    <w:rsid w:val="00397D0B"/>
    <w:rsid w:val="003A1EFB"/>
    <w:rsid w:val="003A2D8F"/>
    <w:rsid w:val="003A3207"/>
    <w:rsid w:val="003A4183"/>
    <w:rsid w:val="003A5A37"/>
    <w:rsid w:val="003B77CD"/>
    <w:rsid w:val="003C0AEC"/>
    <w:rsid w:val="003C2BAB"/>
    <w:rsid w:val="003C2FC4"/>
    <w:rsid w:val="003C7AB6"/>
    <w:rsid w:val="003D0E99"/>
    <w:rsid w:val="003D2DDB"/>
    <w:rsid w:val="003E1E52"/>
    <w:rsid w:val="003E240A"/>
    <w:rsid w:val="003F2851"/>
    <w:rsid w:val="003F6E4A"/>
    <w:rsid w:val="00400239"/>
    <w:rsid w:val="00406247"/>
    <w:rsid w:val="004070C3"/>
    <w:rsid w:val="0040751A"/>
    <w:rsid w:val="00407A41"/>
    <w:rsid w:val="0041116D"/>
    <w:rsid w:val="00417D47"/>
    <w:rsid w:val="00422044"/>
    <w:rsid w:val="00425379"/>
    <w:rsid w:val="00426E8E"/>
    <w:rsid w:val="004345AE"/>
    <w:rsid w:val="00434ADB"/>
    <w:rsid w:val="004368A8"/>
    <w:rsid w:val="00441368"/>
    <w:rsid w:val="00447163"/>
    <w:rsid w:val="004572AD"/>
    <w:rsid w:val="00457DC6"/>
    <w:rsid w:val="00462D9A"/>
    <w:rsid w:val="0046449E"/>
    <w:rsid w:val="00464755"/>
    <w:rsid w:val="00467971"/>
    <w:rsid w:val="0047210E"/>
    <w:rsid w:val="00474501"/>
    <w:rsid w:val="00475409"/>
    <w:rsid w:val="00477248"/>
    <w:rsid w:val="004877A2"/>
    <w:rsid w:val="00490190"/>
    <w:rsid w:val="00496C68"/>
    <w:rsid w:val="004A44EF"/>
    <w:rsid w:val="004A5585"/>
    <w:rsid w:val="004C1011"/>
    <w:rsid w:val="004D2FF8"/>
    <w:rsid w:val="004D48C6"/>
    <w:rsid w:val="004D4F80"/>
    <w:rsid w:val="004E0C82"/>
    <w:rsid w:val="004E1E01"/>
    <w:rsid w:val="004E5FB5"/>
    <w:rsid w:val="004F0ACC"/>
    <w:rsid w:val="004F4D21"/>
    <w:rsid w:val="004F593C"/>
    <w:rsid w:val="004F654C"/>
    <w:rsid w:val="00500386"/>
    <w:rsid w:val="00504122"/>
    <w:rsid w:val="005132BF"/>
    <w:rsid w:val="00516F9C"/>
    <w:rsid w:val="0052046C"/>
    <w:rsid w:val="0052544E"/>
    <w:rsid w:val="00527788"/>
    <w:rsid w:val="0054391B"/>
    <w:rsid w:val="0055015D"/>
    <w:rsid w:val="0055221B"/>
    <w:rsid w:val="005565BE"/>
    <w:rsid w:val="00557EDB"/>
    <w:rsid w:val="00560A44"/>
    <w:rsid w:val="005658FE"/>
    <w:rsid w:val="00573821"/>
    <w:rsid w:val="00574298"/>
    <w:rsid w:val="005769BD"/>
    <w:rsid w:val="00584C35"/>
    <w:rsid w:val="00585F50"/>
    <w:rsid w:val="00586340"/>
    <w:rsid w:val="00597110"/>
    <w:rsid w:val="005A05C0"/>
    <w:rsid w:val="005A1575"/>
    <w:rsid w:val="005A2449"/>
    <w:rsid w:val="005A7666"/>
    <w:rsid w:val="005B0DB3"/>
    <w:rsid w:val="005B6668"/>
    <w:rsid w:val="005B7CBC"/>
    <w:rsid w:val="005C006A"/>
    <w:rsid w:val="005C42D8"/>
    <w:rsid w:val="005C45D3"/>
    <w:rsid w:val="005C6849"/>
    <w:rsid w:val="005C6B42"/>
    <w:rsid w:val="005D1A6F"/>
    <w:rsid w:val="005D561E"/>
    <w:rsid w:val="005E070F"/>
    <w:rsid w:val="005E1400"/>
    <w:rsid w:val="005E56B5"/>
    <w:rsid w:val="005F136C"/>
    <w:rsid w:val="005F1DE2"/>
    <w:rsid w:val="005F3CC5"/>
    <w:rsid w:val="005F7CA2"/>
    <w:rsid w:val="0060019F"/>
    <w:rsid w:val="00600366"/>
    <w:rsid w:val="006074A9"/>
    <w:rsid w:val="00625A92"/>
    <w:rsid w:val="006323E5"/>
    <w:rsid w:val="00632565"/>
    <w:rsid w:val="00635408"/>
    <w:rsid w:val="0063664B"/>
    <w:rsid w:val="00640E28"/>
    <w:rsid w:val="00643BD9"/>
    <w:rsid w:val="00650C9A"/>
    <w:rsid w:val="0065175D"/>
    <w:rsid w:val="0066072B"/>
    <w:rsid w:val="00660793"/>
    <w:rsid w:val="0067041C"/>
    <w:rsid w:val="00683505"/>
    <w:rsid w:val="00685762"/>
    <w:rsid w:val="00686EE6"/>
    <w:rsid w:val="0069458E"/>
    <w:rsid w:val="00694761"/>
    <w:rsid w:val="006A019E"/>
    <w:rsid w:val="006A1629"/>
    <w:rsid w:val="006A5023"/>
    <w:rsid w:val="006B2D08"/>
    <w:rsid w:val="006B39B4"/>
    <w:rsid w:val="006B6380"/>
    <w:rsid w:val="006C633E"/>
    <w:rsid w:val="006C797F"/>
    <w:rsid w:val="006D0781"/>
    <w:rsid w:val="006D4315"/>
    <w:rsid w:val="006D5C63"/>
    <w:rsid w:val="006E0377"/>
    <w:rsid w:val="006E2AB0"/>
    <w:rsid w:val="006E2D0D"/>
    <w:rsid w:val="006E3EF3"/>
    <w:rsid w:val="006E58FE"/>
    <w:rsid w:val="006F0785"/>
    <w:rsid w:val="006F16CF"/>
    <w:rsid w:val="006F171F"/>
    <w:rsid w:val="006F244D"/>
    <w:rsid w:val="006F27EE"/>
    <w:rsid w:val="006F40EB"/>
    <w:rsid w:val="00712AB2"/>
    <w:rsid w:val="00715DF2"/>
    <w:rsid w:val="00717849"/>
    <w:rsid w:val="007202C1"/>
    <w:rsid w:val="007212F6"/>
    <w:rsid w:val="00721549"/>
    <w:rsid w:val="00727E5A"/>
    <w:rsid w:val="007320EA"/>
    <w:rsid w:val="007404A6"/>
    <w:rsid w:val="0074220F"/>
    <w:rsid w:val="00750503"/>
    <w:rsid w:val="0076691D"/>
    <w:rsid w:val="00770292"/>
    <w:rsid w:val="00776548"/>
    <w:rsid w:val="0079039A"/>
    <w:rsid w:val="007969F6"/>
    <w:rsid w:val="007A064B"/>
    <w:rsid w:val="007A1B0E"/>
    <w:rsid w:val="007A24C5"/>
    <w:rsid w:val="007A4ED5"/>
    <w:rsid w:val="007A60B4"/>
    <w:rsid w:val="007A6C93"/>
    <w:rsid w:val="007A73EB"/>
    <w:rsid w:val="007B265B"/>
    <w:rsid w:val="007B7543"/>
    <w:rsid w:val="007C2FE6"/>
    <w:rsid w:val="007E1109"/>
    <w:rsid w:val="007E1CAC"/>
    <w:rsid w:val="007E297A"/>
    <w:rsid w:val="007E4601"/>
    <w:rsid w:val="007F2E7F"/>
    <w:rsid w:val="007F3FEE"/>
    <w:rsid w:val="007F5148"/>
    <w:rsid w:val="007F6CFB"/>
    <w:rsid w:val="007F7901"/>
    <w:rsid w:val="00805F0B"/>
    <w:rsid w:val="00813221"/>
    <w:rsid w:val="008148D6"/>
    <w:rsid w:val="0081555E"/>
    <w:rsid w:val="008177EE"/>
    <w:rsid w:val="00821D15"/>
    <w:rsid w:val="008312FD"/>
    <w:rsid w:val="008326A6"/>
    <w:rsid w:val="008362E7"/>
    <w:rsid w:val="0084158B"/>
    <w:rsid w:val="00841698"/>
    <w:rsid w:val="00856680"/>
    <w:rsid w:val="00860B93"/>
    <w:rsid w:val="0086455B"/>
    <w:rsid w:val="00865788"/>
    <w:rsid w:val="00875139"/>
    <w:rsid w:val="008757DF"/>
    <w:rsid w:val="00887E3F"/>
    <w:rsid w:val="00890469"/>
    <w:rsid w:val="00892954"/>
    <w:rsid w:val="008B3DA5"/>
    <w:rsid w:val="008B4822"/>
    <w:rsid w:val="008B4AA9"/>
    <w:rsid w:val="008B553A"/>
    <w:rsid w:val="008B553E"/>
    <w:rsid w:val="008B6F2C"/>
    <w:rsid w:val="008C4C02"/>
    <w:rsid w:val="008C4F77"/>
    <w:rsid w:val="008D3961"/>
    <w:rsid w:val="008D63C4"/>
    <w:rsid w:val="008D6636"/>
    <w:rsid w:val="008E2AD5"/>
    <w:rsid w:val="008E3896"/>
    <w:rsid w:val="008E7E59"/>
    <w:rsid w:val="008F01B4"/>
    <w:rsid w:val="008F3624"/>
    <w:rsid w:val="00903750"/>
    <w:rsid w:val="00911052"/>
    <w:rsid w:val="00913690"/>
    <w:rsid w:val="009156C9"/>
    <w:rsid w:val="00915EE0"/>
    <w:rsid w:val="0091630B"/>
    <w:rsid w:val="009264CB"/>
    <w:rsid w:val="00930E4F"/>
    <w:rsid w:val="00930EF2"/>
    <w:rsid w:val="009315F3"/>
    <w:rsid w:val="00937076"/>
    <w:rsid w:val="00942FA1"/>
    <w:rsid w:val="009430B1"/>
    <w:rsid w:val="009438F9"/>
    <w:rsid w:val="009500D4"/>
    <w:rsid w:val="009502E5"/>
    <w:rsid w:val="00951E3B"/>
    <w:rsid w:val="00964C27"/>
    <w:rsid w:val="00972379"/>
    <w:rsid w:val="009725D7"/>
    <w:rsid w:val="00976358"/>
    <w:rsid w:val="0097742E"/>
    <w:rsid w:val="0098031F"/>
    <w:rsid w:val="00982525"/>
    <w:rsid w:val="00986B73"/>
    <w:rsid w:val="00987C93"/>
    <w:rsid w:val="009924DA"/>
    <w:rsid w:val="0099638F"/>
    <w:rsid w:val="00996ED4"/>
    <w:rsid w:val="009A6B7C"/>
    <w:rsid w:val="009A7EF7"/>
    <w:rsid w:val="009B4C08"/>
    <w:rsid w:val="009B7467"/>
    <w:rsid w:val="009C2439"/>
    <w:rsid w:val="009C3B82"/>
    <w:rsid w:val="009D0066"/>
    <w:rsid w:val="009D2F2A"/>
    <w:rsid w:val="009D30EB"/>
    <w:rsid w:val="009D67CD"/>
    <w:rsid w:val="009E5C91"/>
    <w:rsid w:val="009F31DD"/>
    <w:rsid w:val="009F559E"/>
    <w:rsid w:val="00A016BC"/>
    <w:rsid w:val="00A147C7"/>
    <w:rsid w:val="00A16FD7"/>
    <w:rsid w:val="00A20032"/>
    <w:rsid w:val="00A235C9"/>
    <w:rsid w:val="00A24380"/>
    <w:rsid w:val="00A2468F"/>
    <w:rsid w:val="00A267A7"/>
    <w:rsid w:val="00A34BE0"/>
    <w:rsid w:val="00A42274"/>
    <w:rsid w:val="00A424BC"/>
    <w:rsid w:val="00A431D9"/>
    <w:rsid w:val="00A464AB"/>
    <w:rsid w:val="00A50B0E"/>
    <w:rsid w:val="00A541E4"/>
    <w:rsid w:val="00A56E05"/>
    <w:rsid w:val="00A81D53"/>
    <w:rsid w:val="00A83390"/>
    <w:rsid w:val="00A84784"/>
    <w:rsid w:val="00A877C5"/>
    <w:rsid w:val="00A9007A"/>
    <w:rsid w:val="00A92DEB"/>
    <w:rsid w:val="00A948E4"/>
    <w:rsid w:val="00A95331"/>
    <w:rsid w:val="00A9709D"/>
    <w:rsid w:val="00A97C60"/>
    <w:rsid w:val="00AA412C"/>
    <w:rsid w:val="00AA654D"/>
    <w:rsid w:val="00AA7246"/>
    <w:rsid w:val="00AB0A71"/>
    <w:rsid w:val="00AB2FC7"/>
    <w:rsid w:val="00AC2D30"/>
    <w:rsid w:val="00AD3156"/>
    <w:rsid w:val="00AD503D"/>
    <w:rsid w:val="00AE175E"/>
    <w:rsid w:val="00AE5BF6"/>
    <w:rsid w:val="00AE7428"/>
    <w:rsid w:val="00B07346"/>
    <w:rsid w:val="00B12E14"/>
    <w:rsid w:val="00B2147F"/>
    <w:rsid w:val="00B21D03"/>
    <w:rsid w:val="00B21FC6"/>
    <w:rsid w:val="00B22D13"/>
    <w:rsid w:val="00B2421C"/>
    <w:rsid w:val="00B258CB"/>
    <w:rsid w:val="00B45CC1"/>
    <w:rsid w:val="00B514B8"/>
    <w:rsid w:val="00B51B5E"/>
    <w:rsid w:val="00B62CD2"/>
    <w:rsid w:val="00B72387"/>
    <w:rsid w:val="00B77B92"/>
    <w:rsid w:val="00B81E8E"/>
    <w:rsid w:val="00B85E63"/>
    <w:rsid w:val="00B87CC1"/>
    <w:rsid w:val="00BA1FCD"/>
    <w:rsid w:val="00BA41C6"/>
    <w:rsid w:val="00BB53D3"/>
    <w:rsid w:val="00BB7651"/>
    <w:rsid w:val="00BC6A1B"/>
    <w:rsid w:val="00BD1631"/>
    <w:rsid w:val="00BD4E34"/>
    <w:rsid w:val="00BE4D4B"/>
    <w:rsid w:val="00BE7CE1"/>
    <w:rsid w:val="00C00A61"/>
    <w:rsid w:val="00C01D37"/>
    <w:rsid w:val="00C05646"/>
    <w:rsid w:val="00C0706C"/>
    <w:rsid w:val="00C10A59"/>
    <w:rsid w:val="00C117CF"/>
    <w:rsid w:val="00C16A97"/>
    <w:rsid w:val="00C3099A"/>
    <w:rsid w:val="00C35F3A"/>
    <w:rsid w:val="00C36503"/>
    <w:rsid w:val="00C42797"/>
    <w:rsid w:val="00C433F5"/>
    <w:rsid w:val="00C50D88"/>
    <w:rsid w:val="00C530BD"/>
    <w:rsid w:val="00C534E8"/>
    <w:rsid w:val="00C666E8"/>
    <w:rsid w:val="00C755D4"/>
    <w:rsid w:val="00C81B9E"/>
    <w:rsid w:val="00C81CC3"/>
    <w:rsid w:val="00C930D9"/>
    <w:rsid w:val="00C971E5"/>
    <w:rsid w:val="00CA1BC4"/>
    <w:rsid w:val="00CA478B"/>
    <w:rsid w:val="00CA66EB"/>
    <w:rsid w:val="00CB480B"/>
    <w:rsid w:val="00CC033D"/>
    <w:rsid w:val="00CC1CE8"/>
    <w:rsid w:val="00CC2EA8"/>
    <w:rsid w:val="00CC2F3F"/>
    <w:rsid w:val="00CC3A91"/>
    <w:rsid w:val="00CC654F"/>
    <w:rsid w:val="00CD22B1"/>
    <w:rsid w:val="00CD2C38"/>
    <w:rsid w:val="00CE0548"/>
    <w:rsid w:val="00CE372E"/>
    <w:rsid w:val="00CE542D"/>
    <w:rsid w:val="00CF0924"/>
    <w:rsid w:val="00CF25B8"/>
    <w:rsid w:val="00CF3FD2"/>
    <w:rsid w:val="00D15E90"/>
    <w:rsid w:val="00D15EFB"/>
    <w:rsid w:val="00D1768D"/>
    <w:rsid w:val="00D20036"/>
    <w:rsid w:val="00D22C70"/>
    <w:rsid w:val="00D32B9C"/>
    <w:rsid w:val="00D41817"/>
    <w:rsid w:val="00D43FDD"/>
    <w:rsid w:val="00D56DCD"/>
    <w:rsid w:val="00D6054D"/>
    <w:rsid w:val="00D63663"/>
    <w:rsid w:val="00D664D3"/>
    <w:rsid w:val="00D66D9A"/>
    <w:rsid w:val="00D727A9"/>
    <w:rsid w:val="00D74322"/>
    <w:rsid w:val="00D75CDE"/>
    <w:rsid w:val="00D80D33"/>
    <w:rsid w:val="00D8294D"/>
    <w:rsid w:val="00D85A44"/>
    <w:rsid w:val="00D86D01"/>
    <w:rsid w:val="00DA0A51"/>
    <w:rsid w:val="00DB3208"/>
    <w:rsid w:val="00DB4510"/>
    <w:rsid w:val="00DC742A"/>
    <w:rsid w:val="00DC7747"/>
    <w:rsid w:val="00DD00EE"/>
    <w:rsid w:val="00DD493C"/>
    <w:rsid w:val="00DE55A1"/>
    <w:rsid w:val="00DE663F"/>
    <w:rsid w:val="00DF1E3F"/>
    <w:rsid w:val="00DF4365"/>
    <w:rsid w:val="00E00457"/>
    <w:rsid w:val="00E06288"/>
    <w:rsid w:val="00E07DA9"/>
    <w:rsid w:val="00E30267"/>
    <w:rsid w:val="00E409DD"/>
    <w:rsid w:val="00E4182D"/>
    <w:rsid w:val="00E44084"/>
    <w:rsid w:val="00E547DE"/>
    <w:rsid w:val="00E80587"/>
    <w:rsid w:val="00E82434"/>
    <w:rsid w:val="00E86C64"/>
    <w:rsid w:val="00E86C83"/>
    <w:rsid w:val="00E90211"/>
    <w:rsid w:val="00E92D8D"/>
    <w:rsid w:val="00E973CB"/>
    <w:rsid w:val="00EA05B9"/>
    <w:rsid w:val="00EA083B"/>
    <w:rsid w:val="00EA5591"/>
    <w:rsid w:val="00EB081E"/>
    <w:rsid w:val="00EB3086"/>
    <w:rsid w:val="00EC15F4"/>
    <w:rsid w:val="00EE1AE6"/>
    <w:rsid w:val="00EE5D37"/>
    <w:rsid w:val="00EE7A50"/>
    <w:rsid w:val="00EF0CB1"/>
    <w:rsid w:val="00EF2BBA"/>
    <w:rsid w:val="00EF5675"/>
    <w:rsid w:val="00F00D66"/>
    <w:rsid w:val="00F017EB"/>
    <w:rsid w:val="00F03528"/>
    <w:rsid w:val="00F0439A"/>
    <w:rsid w:val="00F06FB8"/>
    <w:rsid w:val="00F22337"/>
    <w:rsid w:val="00F228A4"/>
    <w:rsid w:val="00F25D23"/>
    <w:rsid w:val="00F33B32"/>
    <w:rsid w:val="00F349D0"/>
    <w:rsid w:val="00F34DAF"/>
    <w:rsid w:val="00F43217"/>
    <w:rsid w:val="00F44EB3"/>
    <w:rsid w:val="00F523A1"/>
    <w:rsid w:val="00F566DF"/>
    <w:rsid w:val="00F601D2"/>
    <w:rsid w:val="00F60B90"/>
    <w:rsid w:val="00F61AB3"/>
    <w:rsid w:val="00F6422A"/>
    <w:rsid w:val="00F67C2C"/>
    <w:rsid w:val="00F7024F"/>
    <w:rsid w:val="00F74B6D"/>
    <w:rsid w:val="00F74C9A"/>
    <w:rsid w:val="00F753C6"/>
    <w:rsid w:val="00F80E92"/>
    <w:rsid w:val="00F82DD1"/>
    <w:rsid w:val="00F92976"/>
    <w:rsid w:val="00F94851"/>
    <w:rsid w:val="00FA247C"/>
    <w:rsid w:val="00FA2BA0"/>
    <w:rsid w:val="00FA47BB"/>
    <w:rsid w:val="00FA6F79"/>
    <w:rsid w:val="00FC4763"/>
    <w:rsid w:val="00FC4D2F"/>
    <w:rsid w:val="00FF1D8A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6E379"/>
  <w15:chartTrackingRefBased/>
  <w15:docId w15:val="{8875A4AF-A029-466A-817D-E856626D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character" w:customStyle="1" w:styleId="ListParagraphChar">
    <w:name w:val="List Paragraph Char"/>
    <w:link w:val="ListParagraph"/>
    <w:uiPriority w:val="34"/>
    <w:locked/>
    <w:rsid w:val="00712AB2"/>
    <w:rPr>
      <w:rFonts w:eastAsia="Calibri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D86D01"/>
    <w:pPr>
      <w:tabs>
        <w:tab w:val="left" w:pos="567"/>
        <w:tab w:val="left" w:pos="1134"/>
        <w:tab w:val="left" w:pos="1701"/>
        <w:tab w:val="center" w:pos="4706"/>
        <w:tab w:val="right" w:pos="9412"/>
      </w:tabs>
      <w:spacing w:before="100" w:after="100"/>
      <w:ind w:left="567" w:right="567"/>
      <w:jc w:val="center"/>
    </w:pPr>
    <w:rPr>
      <w:rFonts w:eastAsia="Times New Roman"/>
      <w:b/>
      <w:sz w:val="20"/>
      <w:szCs w:val="20"/>
      <w:lang w:val="it-I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17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75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pai.community/standards/mpai-cui/" TargetMode="External"/><Relationship Id="rId18" Type="http://schemas.openxmlformats.org/officeDocument/2006/relationships/hyperlink" Target="https://mpai.community/standards/mpai-cae/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https://mpai.community/standards/mpai-cav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aif/" TargetMode="External"/><Relationship Id="rId20" Type="http://schemas.openxmlformats.org/officeDocument/2006/relationships/hyperlink" Target="https://mpai.community/standards/mpai-spg/" TargetMode="External"/><Relationship Id="rId29" Type="http://schemas.openxmlformats.org/officeDocument/2006/relationships/hyperlink" Target="https://mpai.community/standards/mpai-gs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pai.community/resources/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mpai.community/standards/mpai-evc/" TargetMode="External"/><Relationship Id="rId28" Type="http://schemas.openxmlformats.org/officeDocument/2006/relationships/image" Target="media/image12.png"/><Relationship Id="rId10" Type="http://schemas.openxmlformats.org/officeDocument/2006/relationships/hyperlink" Target="https://mpai.community/standards/mpai-cui/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mpai.community/standards/mpai-ee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mpai.community/resources/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mpai.community/standards/mpai-mcs/" TargetMode="External"/><Relationship Id="rId30" Type="http://schemas.openxmlformats.org/officeDocument/2006/relationships/hyperlink" Target="https://mpai.community/standards/mpai-os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cuments\Custom%20Office%20Templates\MP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MPAI.dotx</Template>
  <TotalTime>70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Leonardo Chiariglione</cp:lastModifiedBy>
  <cp:revision>49</cp:revision>
  <dcterms:created xsi:type="dcterms:W3CDTF">2021-09-25T16:46:00Z</dcterms:created>
  <dcterms:modified xsi:type="dcterms:W3CDTF">2021-09-30T09:24:00Z</dcterms:modified>
</cp:coreProperties>
</file>