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C7" w:rsidRDefault="006B6DC7">
      <w:pPr>
        <w:widowControl w:val="0"/>
        <w:pBdr>
          <w:top w:val="nil"/>
          <w:left w:val="nil"/>
          <w:bottom w:val="nil"/>
          <w:right w:val="nil"/>
          <w:between w:val="nil"/>
        </w:pBdr>
        <w:spacing w:line="276" w:lineRule="auto"/>
        <w:jc w:val="left"/>
      </w:pPr>
    </w:p>
    <w:p w:rsidR="006B6DC7" w:rsidRDefault="006B6DC7">
      <w:pPr>
        <w:widowControl w:val="0"/>
        <w:pBdr>
          <w:top w:val="nil"/>
          <w:left w:val="nil"/>
          <w:bottom w:val="nil"/>
          <w:right w:val="nil"/>
          <w:between w:val="nil"/>
        </w:pBdr>
        <w:spacing w:line="276" w:lineRule="auto"/>
        <w:jc w:val="left"/>
      </w:pPr>
    </w:p>
    <w:p w:rsidR="006B6DC7" w:rsidRDefault="006B6DC7">
      <w:pPr>
        <w:widowControl w:val="0"/>
        <w:pBdr>
          <w:top w:val="nil"/>
          <w:left w:val="nil"/>
          <w:bottom w:val="nil"/>
          <w:right w:val="nil"/>
          <w:between w:val="nil"/>
        </w:pBdr>
        <w:spacing w:line="276" w:lineRule="auto"/>
      </w:pPr>
    </w:p>
    <w:p w:rsidR="006B6DC7" w:rsidRDefault="006B6DC7"/>
    <w:tbl>
      <w:tblPr>
        <w:tblStyle w:val="af0"/>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6B6DC7">
        <w:tc>
          <w:tcPr>
            <w:tcW w:w="3358" w:type="dxa"/>
          </w:tcPr>
          <w:p w:rsidR="006B6DC7" w:rsidRDefault="009B34B5">
            <w:r>
              <w:object w:dxaOrig="2996" w:dyaOrig="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pt;height:58.15pt" o:ole="">
                  <v:imagedata r:id="rId6" o:title=""/>
                </v:shape>
                <o:OLEObject Type="Embed" ProgID="PBrush" ShapeID="_x0000_i1025" DrawAspect="Content" ObjectID="_1701668710" r:id="rId7"/>
              </w:object>
            </w:r>
          </w:p>
        </w:tc>
        <w:tc>
          <w:tcPr>
            <w:tcW w:w="5997" w:type="dxa"/>
            <w:vAlign w:val="center"/>
          </w:tcPr>
          <w:p w:rsidR="006B6DC7" w:rsidRDefault="009B34B5">
            <w:pPr>
              <w:jc w:val="center"/>
              <w:rPr>
                <w:sz w:val="32"/>
                <w:szCs w:val="32"/>
              </w:rPr>
            </w:pPr>
            <w:r>
              <w:rPr>
                <w:sz w:val="32"/>
                <w:szCs w:val="32"/>
              </w:rPr>
              <w:t xml:space="preserve">Moving Picture, Audio and Data Coding </w:t>
            </w:r>
          </w:p>
          <w:p w:rsidR="006B6DC7" w:rsidRDefault="009B34B5">
            <w:pPr>
              <w:jc w:val="center"/>
              <w:rPr>
                <w:sz w:val="32"/>
                <w:szCs w:val="32"/>
              </w:rPr>
            </w:pPr>
            <w:r>
              <w:rPr>
                <w:sz w:val="32"/>
                <w:szCs w:val="32"/>
              </w:rPr>
              <w:t>by Artificial Intelligence</w:t>
            </w:r>
          </w:p>
          <w:p w:rsidR="006B6DC7" w:rsidRDefault="009B34B5">
            <w:pPr>
              <w:jc w:val="center"/>
              <w:rPr>
                <w:sz w:val="32"/>
                <w:szCs w:val="32"/>
              </w:rPr>
            </w:pPr>
            <w:r>
              <w:rPr>
                <w:sz w:val="32"/>
                <w:szCs w:val="32"/>
              </w:rPr>
              <w:t>www.mpai.community</w:t>
            </w:r>
          </w:p>
        </w:tc>
      </w:tr>
    </w:tbl>
    <w:p w:rsidR="006B6DC7" w:rsidRDefault="006B6DC7"/>
    <w:tbl>
      <w:tblPr>
        <w:tblStyle w:val="af1"/>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6B6DC7">
        <w:tc>
          <w:tcPr>
            <w:tcW w:w="957" w:type="dxa"/>
            <w:tcBorders>
              <w:top w:val="nil"/>
              <w:left w:val="nil"/>
              <w:bottom w:val="nil"/>
              <w:right w:val="nil"/>
            </w:tcBorders>
          </w:tcPr>
          <w:p w:rsidR="006B6DC7" w:rsidRDefault="009B34B5">
            <w:r>
              <w:t>Nxxx</w:t>
            </w:r>
          </w:p>
        </w:tc>
        <w:tc>
          <w:tcPr>
            <w:tcW w:w="8398" w:type="dxa"/>
            <w:tcBorders>
              <w:top w:val="nil"/>
              <w:left w:val="nil"/>
              <w:bottom w:val="nil"/>
              <w:right w:val="nil"/>
            </w:tcBorders>
          </w:tcPr>
          <w:p w:rsidR="006B6DC7" w:rsidRDefault="009B34B5">
            <w:pPr>
              <w:jc w:val="right"/>
            </w:pPr>
            <w:r>
              <w:t>2021/12/22</w:t>
            </w:r>
          </w:p>
        </w:tc>
      </w:tr>
      <w:tr w:rsidR="006B6DC7">
        <w:tc>
          <w:tcPr>
            <w:tcW w:w="957" w:type="dxa"/>
            <w:tcBorders>
              <w:top w:val="nil"/>
              <w:left w:val="nil"/>
              <w:bottom w:val="nil"/>
              <w:right w:val="nil"/>
            </w:tcBorders>
          </w:tcPr>
          <w:p w:rsidR="006B6DC7" w:rsidRDefault="009B34B5">
            <w:r>
              <w:t>Source</w:t>
            </w:r>
          </w:p>
        </w:tc>
        <w:tc>
          <w:tcPr>
            <w:tcW w:w="8398" w:type="dxa"/>
            <w:tcBorders>
              <w:top w:val="nil"/>
              <w:left w:val="nil"/>
              <w:bottom w:val="nil"/>
              <w:right w:val="nil"/>
            </w:tcBorders>
          </w:tcPr>
          <w:p w:rsidR="006B6DC7" w:rsidRDefault="009B34B5">
            <w:r>
              <w:t>Video group</w:t>
            </w:r>
          </w:p>
        </w:tc>
      </w:tr>
      <w:tr w:rsidR="006B6DC7">
        <w:tc>
          <w:tcPr>
            <w:tcW w:w="957" w:type="dxa"/>
            <w:tcBorders>
              <w:top w:val="nil"/>
              <w:left w:val="nil"/>
              <w:bottom w:val="nil"/>
              <w:right w:val="nil"/>
            </w:tcBorders>
          </w:tcPr>
          <w:p w:rsidR="006B6DC7" w:rsidRDefault="009B34B5">
            <w:r>
              <w:t>Title</w:t>
            </w:r>
          </w:p>
        </w:tc>
        <w:tc>
          <w:tcPr>
            <w:tcW w:w="8398" w:type="dxa"/>
            <w:tcBorders>
              <w:top w:val="nil"/>
              <w:left w:val="nil"/>
              <w:bottom w:val="nil"/>
              <w:right w:val="nil"/>
            </w:tcBorders>
          </w:tcPr>
          <w:p w:rsidR="006B6DC7" w:rsidRDefault="009B34B5">
            <w:r>
              <w:t>MPAI-EVC Evidence Project report and plan</w:t>
            </w:r>
          </w:p>
        </w:tc>
      </w:tr>
      <w:tr w:rsidR="006B6DC7">
        <w:tc>
          <w:tcPr>
            <w:tcW w:w="957" w:type="dxa"/>
            <w:tcBorders>
              <w:top w:val="nil"/>
              <w:left w:val="nil"/>
              <w:bottom w:val="nil"/>
              <w:right w:val="nil"/>
            </w:tcBorders>
          </w:tcPr>
          <w:p w:rsidR="006B6DC7" w:rsidRDefault="009B34B5">
            <w:r>
              <w:t>Target</w:t>
            </w:r>
          </w:p>
        </w:tc>
        <w:tc>
          <w:tcPr>
            <w:tcW w:w="8398" w:type="dxa"/>
            <w:tcBorders>
              <w:top w:val="nil"/>
              <w:left w:val="nil"/>
              <w:bottom w:val="nil"/>
              <w:right w:val="nil"/>
            </w:tcBorders>
          </w:tcPr>
          <w:p w:rsidR="006B6DC7" w:rsidRDefault="009B34B5">
            <w:r>
              <w:t>MPAI Members</w:t>
            </w:r>
          </w:p>
        </w:tc>
      </w:tr>
    </w:tbl>
    <w:p w:rsidR="006B6DC7" w:rsidRDefault="006B6DC7"/>
    <w:p w:rsidR="006B6DC7" w:rsidRDefault="009B34B5">
      <w:r>
        <w:t>The goal of the group is to enhance EVC (Essential Video Coding) using AI-tools to reach at least 25% improvement over the baseline profile. The group is currently working on three coding tool: Intra prediction, Super Resolution, and in-loop filtering. For</w:t>
      </w:r>
      <w:r>
        <w:t xml:space="preserve"> each tool, in the following we describe the proposed approach and the steps of database building, learning phase and inference. </w:t>
      </w:r>
    </w:p>
    <w:p w:rsidR="006B6DC7" w:rsidRDefault="006B6DC7"/>
    <w:p w:rsidR="006B6DC7" w:rsidRDefault="009B34B5">
      <w:pPr>
        <w:pBdr>
          <w:top w:val="nil"/>
          <w:left w:val="nil"/>
          <w:bottom w:val="nil"/>
          <w:right w:val="nil"/>
          <w:between w:val="nil"/>
        </w:pBdr>
        <w:rPr>
          <w:b/>
        </w:rPr>
      </w:pPr>
      <w:r>
        <w:rPr>
          <w:b/>
          <w:color w:val="000000"/>
        </w:rPr>
        <w:t xml:space="preserve">Intra prediction </w:t>
      </w:r>
      <w:r>
        <w:rPr>
          <w:b/>
        </w:rPr>
        <w:t>tool</w:t>
      </w:r>
    </w:p>
    <w:p w:rsidR="006B6DC7" w:rsidRDefault="009B34B5">
      <w:pPr>
        <w:pBdr>
          <w:top w:val="nil"/>
          <w:left w:val="nil"/>
          <w:bottom w:val="nil"/>
          <w:right w:val="nil"/>
          <w:between w:val="nil"/>
        </w:pBdr>
        <w:rPr>
          <w:color w:val="000000"/>
        </w:rPr>
      </w:pPr>
      <w:r>
        <w:rPr>
          <w:color w:val="000000"/>
        </w:rPr>
        <w:t xml:space="preserve">A new EVC predictor, leveraging a CNN-based autoencoder is generated. </w:t>
      </w:r>
    </w:p>
    <w:p w:rsidR="006B6DC7" w:rsidRDefault="009B34B5">
      <w:pPr>
        <w:pBdr>
          <w:top w:val="nil"/>
          <w:left w:val="nil"/>
          <w:bottom w:val="nil"/>
          <w:right w:val="nil"/>
          <w:between w:val="nil"/>
        </w:pBdr>
        <w:rPr>
          <w:color w:val="000000"/>
        </w:rPr>
      </w:pPr>
      <w:r>
        <w:rPr>
          <w:color w:val="000000"/>
        </w:rPr>
        <w:t>In the training phase the autoen</w:t>
      </w:r>
      <w:r>
        <w:rPr>
          <w:color w:val="000000"/>
        </w:rPr>
        <w:t xml:space="preserve">coder is trained on AROD and BVI dataset by minimizing the Means Square Error (MSE) between its output and the original picture block. </w:t>
      </w:r>
    </w:p>
    <w:p w:rsidR="006B6DC7" w:rsidRDefault="009B34B5">
      <w:pPr>
        <w:pBdr>
          <w:top w:val="nil"/>
          <w:left w:val="nil"/>
          <w:bottom w:val="nil"/>
          <w:right w:val="nil"/>
          <w:between w:val="nil"/>
        </w:pBdr>
        <w:rPr>
          <w:color w:val="000000"/>
        </w:rPr>
      </w:pPr>
      <w:r>
        <w:rPr>
          <w:color w:val="000000"/>
        </w:rPr>
        <w:t>In the inference phase the autoencoder is fed with blocks neighbouring the block being predicted, the so called context.</w:t>
      </w:r>
      <w:r>
        <w:rPr>
          <w:color w:val="000000"/>
        </w:rPr>
        <w:t xml:space="preserve"> The encoder sends the 64-by-64 decoded context of each 32-by-32 Coding Unit (CU) and 16-by-16 CU to the autoencoder and returns the new 32-by-32 or 16-by-16 predictor, depending on the case, to the EVC encoder. The EVC codeword used to signal the EVC mode</w:t>
      </w:r>
      <w:r>
        <w:rPr>
          <w:color w:val="000000"/>
        </w:rPr>
        <w:t xml:space="preserve"> zero (DC) is replaced to signal the new AI-based prediction mode to the decoder. The CNN-autoencoder output replaces the intra predictor unconditionally. The generated bitstream is fully decodable under the assumption that the autoencoder network is also </w:t>
      </w:r>
      <w:r>
        <w:rPr>
          <w:color w:val="000000"/>
        </w:rPr>
        <w:t xml:space="preserve">available at the decoder side. </w:t>
      </w:r>
    </w:p>
    <w:p w:rsidR="006B6DC7" w:rsidRDefault="009B34B5" w:rsidP="00B55784">
      <w:pPr>
        <w:pBdr>
          <w:top w:val="nil"/>
          <w:left w:val="nil"/>
          <w:bottom w:val="nil"/>
          <w:right w:val="nil"/>
          <w:between w:val="nil"/>
        </w:pBdr>
      </w:pPr>
      <w:r>
        <w:t xml:space="preserve">Lot of work was carried out on bug fixing. </w:t>
      </w:r>
      <w:r w:rsidR="00B55784">
        <w:t>We discovered that we were improving the most probable mode between the 5 EVC modes and not the DC mode. Fixing this bud led to the improvement in Table 1.</w:t>
      </w:r>
    </w:p>
    <w:p w:rsidR="006B6DC7" w:rsidRDefault="009B34B5" w:rsidP="00B55784">
      <w:pPr>
        <w:pBdr>
          <w:top w:val="nil"/>
          <w:left w:val="nil"/>
          <w:bottom w:val="nil"/>
          <w:right w:val="nil"/>
          <w:between w:val="nil"/>
        </w:pBdr>
        <w:jc w:val="left"/>
      </w:pPr>
      <w:r>
        <w:t>Table 1 shows the BD-rate gains of the DC-enhanced EVC encoder over the 32x32 intra predictor only, with an improved gain from -0.61% to 0.95% on the considered QP range.</w:t>
      </w:r>
      <w:r>
        <w:br/>
      </w:r>
    </w:p>
    <w:p w:rsidR="006B6DC7" w:rsidRDefault="009B34B5">
      <w:pPr>
        <w:pBdr>
          <w:top w:val="nil"/>
          <w:left w:val="nil"/>
          <w:bottom w:val="nil"/>
          <w:right w:val="nil"/>
          <w:between w:val="nil"/>
        </w:pBdr>
        <w:ind w:left="720"/>
        <w:jc w:val="center"/>
      </w:pPr>
      <w:r>
        <w:rPr>
          <w:noProof/>
          <w:lang w:eastAsia="en-GB"/>
        </w:rPr>
        <w:drawing>
          <wp:inline distT="0" distB="0" distL="0" distR="0">
            <wp:extent cx="1770973" cy="1595813"/>
            <wp:effectExtent l="0" t="0" r="0"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770973" cy="1595813"/>
                    </a:xfrm>
                    <a:prstGeom prst="rect">
                      <a:avLst/>
                    </a:prstGeom>
                    <a:ln/>
                  </pic:spPr>
                </pic:pic>
              </a:graphicData>
            </a:graphic>
          </wp:inline>
        </w:drawing>
      </w:r>
      <w:r>
        <w:rPr>
          <w:noProof/>
          <w:lang w:eastAsia="en-GB"/>
        </w:rPr>
        <w:drawing>
          <wp:inline distT="0" distB="0" distL="0" distR="0">
            <wp:extent cx="1796756" cy="1619047"/>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96756" cy="1619047"/>
                    </a:xfrm>
                    <a:prstGeom prst="rect">
                      <a:avLst/>
                    </a:prstGeom>
                    <a:ln/>
                  </pic:spPr>
                </pic:pic>
              </a:graphicData>
            </a:graphic>
          </wp:inline>
        </w:drawing>
      </w:r>
      <w:r>
        <w:br/>
      </w:r>
      <w:r>
        <w:t>Table 1: BD-rate gains over 32x32 intra predictor after bug fixing</w:t>
      </w:r>
    </w:p>
    <w:p w:rsidR="006B6DC7" w:rsidRDefault="006B6DC7">
      <w:pPr>
        <w:ind w:left="720"/>
        <w:jc w:val="center"/>
      </w:pPr>
    </w:p>
    <w:p w:rsidR="006B6DC7" w:rsidRDefault="009B34B5">
      <w:pPr>
        <w:pBdr>
          <w:top w:val="nil"/>
          <w:left w:val="nil"/>
          <w:bottom w:val="nil"/>
          <w:right w:val="nil"/>
          <w:between w:val="nil"/>
        </w:pBdr>
      </w:pPr>
      <w:r>
        <w:t xml:space="preserve">We trained over 128x128 context with no benefits as in Table 2. </w:t>
      </w:r>
    </w:p>
    <w:p w:rsidR="006B6DC7" w:rsidRDefault="009B34B5">
      <w:pPr>
        <w:pBdr>
          <w:top w:val="nil"/>
          <w:left w:val="nil"/>
          <w:bottom w:val="nil"/>
          <w:right w:val="nil"/>
          <w:between w:val="nil"/>
        </w:pBdr>
        <w:jc w:val="center"/>
      </w:pPr>
      <w:r>
        <w:rPr>
          <w:noProof/>
          <w:lang w:eastAsia="en-GB"/>
        </w:rPr>
        <w:drawing>
          <wp:inline distT="0" distB="0" distL="0" distR="0">
            <wp:extent cx="1860646" cy="1676617"/>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860646" cy="1676617"/>
                    </a:xfrm>
                    <a:prstGeom prst="rect">
                      <a:avLst/>
                    </a:prstGeom>
                    <a:ln/>
                  </pic:spPr>
                </pic:pic>
              </a:graphicData>
            </a:graphic>
          </wp:inline>
        </w:drawing>
      </w:r>
    </w:p>
    <w:p w:rsidR="006B6DC7" w:rsidRDefault="009B34B5">
      <w:pPr>
        <w:pBdr>
          <w:top w:val="nil"/>
          <w:left w:val="nil"/>
          <w:bottom w:val="nil"/>
          <w:right w:val="nil"/>
          <w:between w:val="nil"/>
        </w:pBdr>
        <w:ind w:left="720"/>
        <w:jc w:val="center"/>
      </w:pPr>
      <w:r>
        <w:t>Table 2: BD-rate gains over 128x128 context</w:t>
      </w:r>
    </w:p>
    <w:p w:rsidR="006B6DC7" w:rsidRDefault="006B6DC7">
      <w:pPr>
        <w:pBdr>
          <w:top w:val="nil"/>
          <w:left w:val="nil"/>
          <w:bottom w:val="nil"/>
          <w:right w:val="nil"/>
          <w:between w:val="nil"/>
        </w:pBdr>
        <w:jc w:val="left"/>
      </w:pPr>
    </w:p>
    <w:p w:rsidR="006B6DC7" w:rsidRDefault="009B34B5">
      <w:pPr>
        <w:pBdr>
          <w:top w:val="nil"/>
          <w:left w:val="nil"/>
          <w:bottom w:val="nil"/>
          <w:right w:val="nil"/>
          <w:between w:val="nil"/>
        </w:pBdr>
        <w:jc w:val="left"/>
      </w:pPr>
      <w:r>
        <w:t xml:space="preserve">Moreover, we tested the 128x128 context on 4K sequences of the Xiph Netflix 4K dataset (Table 3). Also in this case the benefits are negligible. </w:t>
      </w:r>
    </w:p>
    <w:p w:rsidR="006B6DC7" w:rsidRDefault="006B6DC7">
      <w:pPr>
        <w:pBdr>
          <w:top w:val="nil"/>
          <w:left w:val="nil"/>
          <w:bottom w:val="nil"/>
          <w:right w:val="nil"/>
          <w:between w:val="nil"/>
        </w:pBdr>
        <w:jc w:val="left"/>
      </w:pPr>
    </w:p>
    <w:p w:rsidR="006B6DC7" w:rsidRDefault="009B34B5">
      <w:pPr>
        <w:pBdr>
          <w:top w:val="nil"/>
          <w:left w:val="nil"/>
          <w:bottom w:val="nil"/>
          <w:right w:val="nil"/>
          <w:between w:val="nil"/>
        </w:pBdr>
        <w:jc w:val="center"/>
      </w:pPr>
      <w:r>
        <w:rPr>
          <w:noProof/>
          <w:lang w:eastAsia="en-GB"/>
        </w:rPr>
        <w:drawing>
          <wp:inline distT="0" distB="0" distL="0" distR="0">
            <wp:extent cx="1668980" cy="1709722"/>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68980" cy="1709722"/>
                    </a:xfrm>
                    <a:prstGeom prst="rect">
                      <a:avLst/>
                    </a:prstGeom>
                    <a:ln/>
                  </pic:spPr>
                </pic:pic>
              </a:graphicData>
            </a:graphic>
          </wp:inline>
        </w:drawing>
      </w:r>
    </w:p>
    <w:p w:rsidR="006B6DC7" w:rsidRDefault="009B34B5">
      <w:pPr>
        <w:pBdr>
          <w:top w:val="nil"/>
          <w:left w:val="nil"/>
          <w:bottom w:val="nil"/>
          <w:right w:val="nil"/>
          <w:between w:val="nil"/>
        </w:pBdr>
        <w:ind w:left="720"/>
        <w:jc w:val="center"/>
      </w:pPr>
      <w:r>
        <w:t>Table 3: BD-rate gains over 4K sequences</w:t>
      </w:r>
    </w:p>
    <w:p w:rsidR="006B6DC7" w:rsidRDefault="006B6DC7">
      <w:pPr>
        <w:pBdr>
          <w:top w:val="nil"/>
          <w:left w:val="nil"/>
          <w:bottom w:val="nil"/>
          <w:right w:val="nil"/>
          <w:between w:val="nil"/>
        </w:pBdr>
        <w:jc w:val="center"/>
      </w:pPr>
    </w:p>
    <w:p w:rsidR="006B6DC7" w:rsidRDefault="006B6DC7">
      <w:pPr>
        <w:pBdr>
          <w:top w:val="nil"/>
          <w:left w:val="nil"/>
          <w:bottom w:val="nil"/>
          <w:right w:val="nil"/>
          <w:between w:val="nil"/>
        </w:pBdr>
      </w:pPr>
    </w:p>
    <w:p w:rsidR="006B6DC7" w:rsidRDefault="009B34B5">
      <w:pPr>
        <w:pBdr>
          <w:top w:val="nil"/>
          <w:left w:val="nil"/>
          <w:bottom w:val="nil"/>
          <w:right w:val="nil"/>
          <w:between w:val="nil"/>
        </w:pBdr>
      </w:pPr>
      <w:r>
        <w:t xml:space="preserve">We worked on the fine tuning of the hyperparameters of the network, training the autoencoder with learning rate (LR) of 10^-4. Table 4 contains the results on HD and 4K sequences. </w:t>
      </w:r>
      <w:r w:rsidR="00B55784">
        <w:t>In this case there is an improvement in BD-rate for both the class sequences.</w:t>
      </w:r>
    </w:p>
    <w:p w:rsidR="006B6DC7" w:rsidRDefault="009B34B5">
      <w:pPr>
        <w:pBdr>
          <w:top w:val="nil"/>
          <w:left w:val="nil"/>
          <w:bottom w:val="nil"/>
          <w:right w:val="nil"/>
          <w:between w:val="nil"/>
        </w:pBdr>
        <w:jc w:val="center"/>
      </w:pPr>
      <w:r>
        <w:rPr>
          <w:noProof/>
          <w:lang w:eastAsia="en-GB"/>
        </w:rPr>
        <w:drawing>
          <wp:inline distT="0" distB="0" distL="0" distR="0">
            <wp:extent cx="1809546" cy="1630572"/>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809546" cy="1630572"/>
                    </a:xfrm>
                    <a:prstGeom prst="rect">
                      <a:avLst/>
                    </a:prstGeom>
                    <a:ln/>
                  </pic:spPr>
                </pic:pic>
              </a:graphicData>
            </a:graphic>
          </wp:inline>
        </w:drawing>
      </w:r>
      <w:r>
        <w:rPr>
          <w:noProof/>
          <w:lang w:eastAsia="en-GB"/>
        </w:rPr>
        <w:drawing>
          <wp:inline distT="0" distB="0" distL="0" distR="0">
            <wp:extent cx="1579315" cy="1617867"/>
            <wp:effectExtent l="0" t="0" r="0" b="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579315" cy="1617867"/>
                    </a:xfrm>
                    <a:prstGeom prst="rect">
                      <a:avLst/>
                    </a:prstGeom>
                    <a:ln/>
                  </pic:spPr>
                </pic:pic>
              </a:graphicData>
            </a:graphic>
          </wp:inline>
        </w:drawing>
      </w:r>
    </w:p>
    <w:p w:rsidR="006B6DC7" w:rsidRDefault="009B34B5">
      <w:pPr>
        <w:pBdr>
          <w:top w:val="nil"/>
          <w:left w:val="nil"/>
          <w:bottom w:val="nil"/>
          <w:right w:val="nil"/>
          <w:between w:val="nil"/>
        </w:pBdr>
        <w:ind w:left="720"/>
        <w:jc w:val="center"/>
      </w:pPr>
      <w:r>
        <w:t>Table 4: BD-rate gains with LR=10^-4 on HD (left) and 4K (right)</w:t>
      </w:r>
    </w:p>
    <w:p w:rsidR="006B6DC7" w:rsidRDefault="006B6DC7">
      <w:pPr>
        <w:pBdr>
          <w:top w:val="nil"/>
          <w:left w:val="nil"/>
          <w:bottom w:val="nil"/>
          <w:right w:val="nil"/>
          <w:between w:val="nil"/>
        </w:pBdr>
        <w:ind w:left="720"/>
        <w:jc w:val="left"/>
      </w:pPr>
    </w:p>
    <w:p w:rsidR="006B6DC7" w:rsidRDefault="006B6DC7">
      <w:pPr>
        <w:pBdr>
          <w:top w:val="nil"/>
          <w:left w:val="nil"/>
          <w:bottom w:val="nil"/>
          <w:right w:val="nil"/>
          <w:between w:val="nil"/>
        </w:pBdr>
      </w:pPr>
    </w:p>
    <w:p w:rsidR="006B6DC7" w:rsidRDefault="006B6DC7">
      <w:pPr>
        <w:pBdr>
          <w:top w:val="nil"/>
          <w:left w:val="nil"/>
          <w:bottom w:val="nil"/>
          <w:right w:val="nil"/>
          <w:between w:val="nil"/>
        </w:pBdr>
      </w:pPr>
    </w:p>
    <w:p w:rsidR="006B6DC7" w:rsidRDefault="009B34B5">
      <w:pPr>
        <w:pBdr>
          <w:top w:val="nil"/>
          <w:left w:val="nil"/>
          <w:bottom w:val="nil"/>
          <w:right w:val="nil"/>
          <w:between w:val="nil"/>
        </w:pBdr>
        <w:jc w:val="center"/>
      </w:pPr>
      <w:r>
        <w:rPr>
          <w:noProof/>
          <w:lang w:eastAsia="en-GB"/>
        </w:rPr>
        <w:lastRenderedPageBreak/>
        <w:drawing>
          <wp:inline distT="0" distB="0" distL="0" distR="0">
            <wp:extent cx="5193480" cy="3894971"/>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193480" cy="3894971"/>
                    </a:xfrm>
                    <a:prstGeom prst="rect">
                      <a:avLst/>
                    </a:prstGeom>
                    <a:ln/>
                  </pic:spPr>
                </pic:pic>
              </a:graphicData>
            </a:graphic>
          </wp:inline>
        </w:drawing>
      </w:r>
    </w:p>
    <w:p w:rsidR="006B6DC7" w:rsidRDefault="009B34B5">
      <w:pPr>
        <w:pBdr>
          <w:top w:val="nil"/>
          <w:left w:val="nil"/>
          <w:bottom w:val="nil"/>
          <w:right w:val="nil"/>
          <w:between w:val="nil"/>
        </w:pBdr>
        <w:jc w:val="center"/>
      </w:pPr>
      <w:r>
        <w:t>Figure 1: PSNR on Basketball sequence</w:t>
      </w:r>
    </w:p>
    <w:p w:rsidR="006B6DC7" w:rsidRDefault="009B34B5">
      <w:pPr>
        <w:pBdr>
          <w:top w:val="nil"/>
          <w:left w:val="nil"/>
          <w:bottom w:val="nil"/>
          <w:right w:val="nil"/>
          <w:between w:val="nil"/>
        </w:pBdr>
      </w:pPr>
      <w:r>
        <w:t>In Figure 1 the PSNR curve of the Basketball sequence with LR=10^-4.</w:t>
      </w:r>
    </w:p>
    <w:p w:rsidR="006B6DC7" w:rsidRDefault="009B34B5">
      <w:pPr>
        <w:pBdr>
          <w:top w:val="nil"/>
          <w:left w:val="nil"/>
          <w:bottom w:val="nil"/>
          <w:right w:val="nil"/>
          <w:between w:val="nil"/>
        </w:pBdr>
      </w:pPr>
      <w:r>
        <w:t>Finally, we worked on the loss function, using ABS (absolute difference) instead of MSE in the training phase. We improved the performance (on 900 ep</w:t>
      </w:r>
      <w:r>
        <w:t>ochs) as in Table 5.</w:t>
      </w:r>
    </w:p>
    <w:p w:rsidR="006B6DC7" w:rsidRDefault="006B6DC7">
      <w:pPr>
        <w:pBdr>
          <w:top w:val="nil"/>
          <w:left w:val="nil"/>
          <w:bottom w:val="nil"/>
          <w:right w:val="nil"/>
          <w:between w:val="nil"/>
        </w:pBdr>
      </w:pPr>
    </w:p>
    <w:p w:rsidR="006B6DC7" w:rsidRDefault="006B6DC7">
      <w:pPr>
        <w:pBdr>
          <w:top w:val="nil"/>
          <w:left w:val="nil"/>
          <w:bottom w:val="nil"/>
          <w:right w:val="nil"/>
          <w:between w:val="nil"/>
        </w:pBdr>
      </w:pPr>
    </w:p>
    <w:p w:rsidR="006B6DC7" w:rsidRDefault="006B6DC7">
      <w:pPr>
        <w:pBdr>
          <w:top w:val="nil"/>
          <w:left w:val="nil"/>
          <w:bottom w:val="nil"/>
          <w:right w:val="nil"/>
          <w:between w:val="nil"/>
        </w:pBdr>
      </w:pPr>
    </w:p>
    <w:p w:rsidR="006B6DC7" w:rsidRDefault="009B34B5">
      <w:pPr>
        <w:pBdr>
          <w:top w:val="nil"/>
          <w:left w:val="nil"/>
          <w:bottom w:val="nil"/>
          <w:right w:val="nil"/>
          <w:between w:val="nil"/>
        </w:pBdr>
        <w:jc w:val="center"/>
      </w:pPr>
      <w:r>
        <w:rPr>
          <w:noProof/>
          <w:lang w:eastAsia="en-GB"/>
        </w:rPr>
        <w:drawing>
          <wp:inline distT="0" distB="0" distL="0" distR="0">
            <wp:extent cx="1865398" cy="1680900"/>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865398" cy="1680900"/>
                    </a:xfrm>
                    <a:prstGeom prst="rect">
                      <a:avLst/>
                    </a:prstGeom>
                    <a:ln/>
                  </pic:spPr>
                </pic:pic>
              </a:graphicData>
            </a:graphic>
          </wp:inline>
        </w:drawing>
      </w:r>
      <w:r>
        <w:rPr>
          <w:noProof/>
          <w:lang w:eastAsia="en-GB"/>
        </w:rPr>
        <w:drawing>
          <wp:inline distT="0" distB="0" distL="0" distR="0">
            <wp:extent cx="1631118" cy="1670935"/>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631118" cy="1670935"/>
                    </a:xfrm>
                    <a:prstGeom prst="rect">
                      <a:avLst/>
                    </a:prstGeom>
                    <a:ln/>
                  </pic:spPr>
                </pic:pic>
              </a:graphicData>
            </a:graphic>
          </wp:inline>
        </w:drawing>
      </w:r>
    </w:p>
    <w:p w:rsidR="006B6DC7" w:rsidRDefault="00F140D8">
      <w:pPr>
        <w:pBdr>
          <w:top w:val="nil"/>
          <w:left w:val="nil"/>
          <w:bottom w:val="nil"/>
          <w:right w:val="nil"/>
          <w:between w:val="nil"/>
        </w:pBdr>
        <w:ind w:left="720"/>
        <w:jc w:val="center"/>
      </w:pPr>
      <w:r>
        <w:t>Table 5</w:t>
      </w:r>
      <w:r w:rsidR="009B34B5">
        <w:t>: BD-rate gains using ABS on HD (left) and 4K (right)</w:t>
      </w:r>
    </w:p>
    <w:p w:rsidR="006B6DC7" w:rsidRDefault="006B6DC7">
      <w:pPr>
        <w:pBdr>
          <w:top w:val="nil"/>
          <w:left w:val="nil"/>
          <w:bottom w:val="nil"/>
          <w:right w:val="nil"/>
          <w:between w:val="nil"/>
        </w:pBdr>
      </w:pPr>
    </w:p>
    <w:p w:rsidR="006B6DC7" w:rsidRDefault="009B34B5">
      <w:pPr>
        <w:pBdr>
          <w:top w:val="nil"/>
          <w:left w:val="nil"/>
          <w:bottom w:val="nil"/>
          <w:right w:val="nil"/>
          <w:between w:val="nil"/>
        </w:pBdr>
      </w:pPr>
      <w:r>
        <w:t>Future plans include:</w:t>
      </w:r>
    </w:p>
    <w:p w:rsidR="006B6DC7" w:rsidRDefault="009B34B5">
      <w:pPr>
        <w:numPr>
          <w:ilvl w:val="0"/>
          <w:numId w:val="2"/>
        </w:numPr>
        <w:pBdr>
          <w:top w:val="nil"/>
          <w:left w:val="nil"/>
          <w:bottom w:val="nil"/>
          <w:right w:val="nil"/>
          <w:between w:val="nil"/>
        </w:pBdr>
      </w:pPr>
      <w:r>
        <w:rPr>
          <w:rFonts w:eastAsia="Times New Roman"/>
          <w:color w:val="000000"/>
        </w:rPr>
        <w:t>extending the proposed approach also to 8x8 and 4x4 CUs</w:t>
      </w:r>
    </w:p>
    <w:p w:rsidR="006B6DC7" w:rsidRDefault="009B34B5">
      <w:pPr>
        <w:numPr>
          <w:ilvl w:val="0"/>
          <w:numId w:val="2"/>
        </w:numPr>
        <w:pBdr>
          <w:top w:val="nil"/>
          <w:left w:val="nil"/>
          <w:bottom w:val="nil"/>
          <w:right w:val="nil"/>
          <w:between w:val="nil"/>
        </w:pBdr>
      </w:pPr>
      <w:r>
        <w:t xml:space="preserve">experimenting with other network architectures than convolutional </w:t>
      </w:r>
    </w:p>
    <w:p w:rsidR="006B6DC7" w:rsidRDefault="009B34B5">
      <w:pPr>
        <w:numPr>
          <w:ilvl w:val="0"/>
          <w:numId w:val="2"/>
        </w:numPr>
        <w:pBdr>
          <w:top w:val="nil"/>
          <w:left w:val="nil"/>
          <w:bottom w:val="nil"/>
          <w:right w:val="nil"/>
          <w:between w:val="nil"/>
        </w:pBdr>
      </w:pPr>
      <w:r>
        <w:t>removing tanh that may improve convergence speed</w:t>
      </w:r>
    </w:p>
    <w:p w:rsidR="006B6DC7" w:rsidRDefault="009B34B5">
      <w:pPr>
        <w:numPr>
          <w:ilvl w:val="0"/>
          <w:numId w:val="2"/>
        </w:numPr>
        <w:pBdr>
          <w:top w:val="nil"/>
          <w:left w:val="nil"/>
          <w:bottom w:val="nil"/>
          <w:right w:val="nil"/>
          <w:between w:val="nil"/>
        </w:pBdr>
      </w:pPr>
      <w:r>
        <w:rPr>
          <w:rFonts w:eastAsia="Times New Roman"/>
          <w:color w:val="000000"/>
        </w:rPr>
        <w:t>reducing number of parameters</w:t>
      </w:r>
    </w:p>
    <w:p w:rsidR="006B6DC7" w:rsidRDefault="006B6DC7">
      <w:pPr>
        <w:jc w:val="center"/>
      </w:pPr>
    </w:p>
    <w:p w:rsidR="006B6DC7" w:rsidRDefault="006B6DC7">
      <w:pPr>
        <w:jc w:val="center"/>
      </w:pPr>
    </w:p>
    <w:p w:rsidR="006B6DC7" w:rsidRDefault="009B34B5">
      <w:pPr>
        <w:pBdr>
          <w:top w:val="nil"/>
          <w:left w:val="nil"/>
          <w:bottom w:val="nil"/>
          <w:right w:val="nil"/>
          <w:between w:val="nil"/>
        </w:pBdr>
        <w:rPr>
          <w:b/>
        </w:rPr>
      </w:pPr>
      <w:r>
        <w:rPr>
          <w:b/>
          <w:color w:val="000000"/>
        </w:rPr>
        <w:t xml:space="preserve">Super resolution </w:t>
      </w:r>
      <w:r>
        <w:rPr>
          <w:b/>
        </w:rPr>
        <w:t>tool</w:t>
      </w:r>
    </w:p>
    <w:p w:rsidR="006B6DC7" w:rsidRDefault="009B34B5">
      <w:pPr>
        <w:spacing w:before="240" w:after="240"/>
        <w:ind w:firstLine="280"/>
      </w:pPr>
      <w:r>
        <w:lastRenderedPageBreak/>
        <w:t>We built a dataset to train the super resolution network with 3 resolutions (4k, HD, and SD), 4 values of picture quality, two coding tool sets (deblocki</w:t>
      </w:r>
      <w:r>
        <w:t>ng enabled, deblocking disabled) for a total of 170 GB dataset.</w:t>
      </w:r>
    </w:p>
    <w:p w:rsidR="006B6DC7" w:rsidRDefault="009B34B5">
      <w:pPr>
        <w:spacing w:before="240" w:after="240"/>
        <w:ind w:firstLine="280"/>
      </w:pPr>
      <w:r>
        <w:t>The super resolution step was added as a post processing tool. The picture before encoding with EVC baseline profile was downscaled and then the super resolution network was applied to the dec</w:t>
      </w:r>
      <w:r>
        <w:t>oded picture to get the native resolution.</w:t>
      </w:r>
    </w:p>
    <w:p w:rsidR="006B6DC7" w:rsidRDefault="009B34B5">
      <w:r>
        <w:t>We have experimented with the performances of the trained network on 8 sequences for the super resolution SD to HD, and on 3 sequences for the super resolution HD 2 4K.</w:t>
      </w:r>
    </w:p>
    <w:p w:rsidR="006B6DC7" w:rsidRDefault="009B34B5">
      <w:bookmarkStart w:id="0" w:name="_heading=h.30j0zll" w:colFirst="0" w:colLast="0"/>
      <w:bookmarkEnd w:id="0"/>
      <w:r>
        <w:t>The group has worked on the computation of t</w:t>
      </w:r>
      <w:r>
        <w:t>he BD-rate SD to HD and the result is -4.701% improvement.</w:t>
      </w:r>
    </w:p>
    <w:p w:rsidR="006B6DC7" w:rsidRDefault="009B34B5">
      <w:pPr>
        <w:pBdr>
          <w:top w:val="nil"/>
          <w:left w:val="nil"/>
          <w:bottom w:val="nil"/>
          <w:right w:val="nil"/>
          <w:between w:val="nil"/>
        </w:pBdr>
      </w:pPr>
      <w:bookmarkStart w:id="1" w:name="_heading=h.vm9k397uvm4u" w:colFirst="0" w:colLast="0"/>
      <w:bookmarkEnd w:id="1"/>
      <w:r>
        <w:t>The HD to 4K testing phase has been finalized on all QPs (15,30,37 and 45), and we are in the phase of calculating the BD-rate.</w:t>
      </w:r>
    </w:p>
    <w:p w:rsidR="006B6DC7" w:rsidRDefault="009B34B5">
      <w:pPr>
        <w:pBdr>
          <w:top w:val="nil"/>
          <w:left w:val="nil"/>
          <w:bottom w:val="nil"/>
          <w:right w:val="nil"/>
          <w:between w:val="nil"/>
        </w:pBdr>
      </w:pPr>
      <w:bookmarkStart w:id="2" w:name="_heading=h.1pmyymuns94t" w:colFirst="0" w:colLast="0"/>
      <w:bookmarkEnd w:id="2"/>
      <w:r>
        <w:t>We are double checking our computations because it seems that the tra</w:t>
      </w:r>
      <w:r>
        <w:t>ining distributed on more GPUs has altered the calculation of the metrics. Due to memory constraint during training on 4K pictures we had to distribute the training on two GPUs and this process somehow has affected the calculation of the PSNR as you can se</w:t>
      </w:r>
      <w:r w:rsidR="00F140D8">
        <w:t>e in the Table 6</w:t>
      </w:r>
      <w:r>
        <w:t>.</w:t>
      </w:r>
    </w:p>
    <w:p w:rsidR="006B6DC7" w:rsidRDefault="009B34B5">
      <w:pPr>
        <w:pBdr>
          <w:top w:val="nil"/>
          <w:left w:val="nil"/>
          <w:bottom w:val="nil"/>
          <w:right w:val="nil"/>
          <w:between w:val="nil"/>
        </w:pBdr>
      </w:pPr>
      <w:bookmarkStart w:id="3" w:name="_heading=h.l32rxeiv5jxd" w:colFirst="0" w:colLast="0"/>
      <w:bookmarkEnd w:id="3"/>
      <w:r>
        <w:rPr>
          <w:noProof/>
          <w:lang w:eastAsia="en-GB"/>
        </w:rPr>
        <w:drawing>
          <wp:inline distT="114300" distB="114300" distL="114300" distR="114300">
            <wp:extent cx="5939480" cy="10160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939480" cy="1016000"/>
                    </a:xfrm>
                    <a:prstGeom prst="rect">
                      <a:avLst/>
                    </a:prstGeom>
                    <a:ln/>
                  </pic:spPr>
                </pic:pic>
              </a:graphicData>
            </a:graphic>
          </wp:inline>
        </w:drawing>
      </w:r>
    </w:p>
    <w:p w:rsidR="006B6DC7" w:rsidRDefault="00F140D8">
      <w:pPr>
        <w:pBdr>
          <w:top w:val="nil"/>
          <w:left w:val="nil"/>
          <w:bottom w:val="nil"/>
          <w:right w:val="nil"/>
          <w:between w:val="nil"/>
        </w:pBdr>
        <w:jc w:val="center"/>
      </w:pPr>
      <w:bookmarkStart w:id="4" w:name="_heading=h.n4pu5fp1e0gr" w:colFirst="0" w:colLast="0"/>
      <w:bookmarkEnd w:id="4"/>
      <w:r>
        <w:t>Table 6</w:t>
      </w:r>
      <w:r w:rsidR="009B34B5">
        <w:t>:  PSNR is no longer a monotonic function with respect to the quality factor</w:t>
      </w:r>
    </w:p>
    <w:p w:rsidR="006B6DC7" w:rsidRDefault="006B6DC7">
      <w:pPr>
        <w:pBdr>
          <w:top w:val="nil"/>
          <w:left w:val="nil"/>
          <w:bottom w:val="nil"/>
          <w:right w:val="nil"/>
          <w:between w:val="nil"/>
        </w:pBdr>
      </w:pPr>
      <w:bookmarkStart w:id="5" w:name="_heading=h.c9il2trpxj1q" w:colFirst="0" w:colLast="0"/>
      <w:bookmarkEnd w:id="5"/>
    </w:p>
    <w:p w:rsidR="006B6DC7" w:rsidRDefault="006B6DC7">
      <w:bookmarkStart w:id="6" w:name="_heading=h.2iw4kh49zlbj" w:colFirst="0" w:colLast="0"/>
      <w:bookmarkEnd w:id="6"/>
    </w:p>
    <w:p w:rsidR="006B6DC7" w:rsidRDefault="009B34B5">
      <w:r>
        <w:t>The next steps are:</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6B6DC7">
        <w:tc>
          <w:tcPr>
            <w:tcW w:w="1394" w:type="dxa"/>
          </w:tcPr>
          <w:p w:rsidR="006B6DC7" w:rsidRDefault="009B34B5">
            <w:pPr>
              <w:jc w:val="center"/>
              <w:rPr>
                <w:b/>
              </w:rPr>
            </w:pPr>
            <w:r>
              <w:rPr>
                <w:b/>
              </w:rPr>
              <w:t>Tool</w:t>
            </w:r>
          </w:p>
        </w:tc>
        <w:tc>
          <w:tcPr>
            <w:tcW w:w="1175" w:type="dxa"/>
          </w:tcPr>
          <w:p w:rsidR="006B6DC7" w:rsidRDefault="009B34B5">
            <w:pPr>
              <w:jc w:val="center"/>
              <w:rPr>
                <w:b/>
              </w:rPr>
            </w:pPr>
            <w:r>
              <w:rPr>
                <w:b/>
              </w:rPr>
              <w:t>Date</w:t>
            </w:r>
          </w:p>
        </w:tc>
        <w:tc>
          <w:tcPr>
            <w:tcW w:w="4149" w:type="dxa"/>
          </w:tcPr>
          <w:p w:rsidR="006B6DC7" w:rsidRDefault="009B34B5">
            <w:pPr>
              <w:jc w:val="center"/>
              <w:rPr>
                <w:b/>
              </w:rPr>
            </w:pPr>
            <w:r>
              <w:rPr>
                <w:b/>
              </w:rPr>
              <w:t>Topic</w:t>
            </w:r>
          </w:p>
        </w:tc>
        <w:tc>
          <w:tcPr>
            <w:tcW w:w="2627" w:type="dxa"/>
          </w:tcPr>
          <w:p w:rsidR="006B6DC7" w:rsidRDefault="009B34B5">
            <w:pPr>
              <w:jc w:val="center"/>
              <w:rPr>
                <w:b/>
              </w:rPr>
            </w:pPr>
            <w:r>
              <w:rPr>
                <w:b/>
              </w:rPr>
              <w:t>Who</w:t>
            </w:r>
          </w:p>
        </w:tc>
      </w:tr>
      <w:tr w:rsidR="006B6DC7">
        <w:tc>
          <w:tcPr>
            <w:tcW w:w="1394" w:type="dxa"/>
            <w:vMerge w:val="restart"/>
            <w:vAlign w:val="center"/>
          </w:tcPr>
          <w:p w:rsidR="006B6DC7" w:rsidRDefault="009B34B5">
            <w:r>
              <w:t>Intra prediction</w:t>
            </w:r>
          </w:p>
        </w:tc>
        <w:tc>
          <w:tcPr>
            <w:tcW w:w="1175" w:type="dxa"/>
          </w:tcPr>
          <w:p w:rsidR="006B6DC7" w:rsidRDefault="009B34B5">
            <w:r>
              <w:t>1 meeting cycle</w:t>
            </w:r>
          </w:p>
        </w:tc>
        <w:tc>
          <w:tcPr>
            <w:tcW w:w="4149" w:type="dxa"/>
          </w:tcPr>
          <w:p w:rsidR="006B6DC7" w:rsidRDefault="009B34B5">
            <w:r>
              <w:t>More experiments to improve the BD-rate</w:t>
            </w:r>
          </w:p>
        </w:tc>
        <w:tc>
          <w:tcPr>
            <w:tcW w:w="2627" w:type="dxa"/>
          </w:tcPr>
          <w:p w:rsidR="006B6DC7" w:rsidRDefault="009B34B5">
            <w:r>
              <w:t>Attilio, Alessandra, Roberto</w:t>
            </w:r>
          </w:p>
        </w:tc>
      </w:tr>
      <w:tr w:rsidR="006B6DC7">
        <w:tc>
          <w:tcPr>
            <w:tcW w:w="1394" w:type="dxa"/>
            <w:vMerge/>
            <w:vAlign w:val="center"/>
          </w:tcPr>
          <w:p w:rsidR="006B6DC7" w:rsidRDefault="006B6DC7">
            <w:pPr>
              <w:widowControl w:val="0"/>
              <w:pBdr>
                <w:top w:val="nil"/>
                <w:left w:val="nil"/>
                <w:bottom w:val="nil"/>
                <w:right w:val="nil"/>
                <w:between w:val="nil"/>
              </w:pBdr>
              <w:spacing w:line="276" w:lineRule="auto"/>
              <w:jc w:val="left"/>
            </w:pPr>
          </w:p>
        </w:tc>
        <w:tc>
          <w:tcPr>
            <w:tcW w:w="1175" w:type="dxa"/>
          </w:tcPr>
          <w:p w:rsidR="006B6DC7" w:rsidRDefault="009B34B5">
            <w:r>
              <w:t>1 meeting cycle</w:t>
            </w:r>
          </w:p>
        </w:tc>
        <w:tc>
          <w:tcPr>
            <w:tcW w:w="4149" w:type="dxa"/>
          </w:tcPr>
          <w:p w:rsidR="006B6DC7" w:rsidRDefault="009B34B5">
            <w:r>
              <w:t>Experiments on  8x8 and 4x4 block size</w:t>
            </w:r>
          </w:p>
        </w:tc>
        <w:tc>
          <w:tcPr>
            <w:tcW w:w="2627" w:type="dxa"/>
          </w:tcPr>
          <w:p w:rsidR="006B6DC7" w:rsidRDefault="009B34B5">
            <w:r>
              <w:t>Attilio</w:t>
            </w:r>
          </w:p>
        </w:tc>
      </w:tr>
      <w:tr w:rsidR="006B6DC7">
        <w:tc>
          <w:tcPr>
            <w:tcW w:w="1394" w:type="dxa"/>
            <w:vMerge/>
            <w:vAlign w:val="center"/>
          </w:tcPr>
          <w:p w:rsidR="006B6DC7" w:rsidRDefault="006B6DC7">
            <w:pPr>
              <w:widowControl w:val="0"/>
              <w:pBdr>
                <w:top w:val="nil"/>
                <w:left w:val="nil"/>
                <w:bottom w:val="nil"/>
                <w:right w:val="nil"/>
                <w:between w:val="nil"/>
              </w:pBdr>
              <w:spacing w:line="276" w:lineRule="auto"/>
              <w:jc w:val="left"/>
            </w:pPr>
          </w:p>
        </w:tc>
        <w:tc>
          <w:tcPr>
            <w:tcW w:w="1175" w:type="dxa"/>
          </w:tcPr>
          <w:p w:rsidR="006B6DC7" w:rsidRDefault="009B34B5">
            <w:r>
              <w:t>2 meeting cycles</w:t>
            </w:r>
          </w:p>
        </w:tc>
        <w:tc>
          <w:tcPr>
            <w:tcW w:w="4149" w:type="dxa"/>
          </w:tcPr>
          <w:p w:rsidR="006B6DC7" w:rsidRDefault="009B34B5">
            <w:r>
              <w:t>Removing tanh that may improve convergence speed</w:t>
            </w:r>
          </w:p>
        </w:tc>
        <w:tc>
          <w:tcPr>
            <w:tcW w:w="2627" w:type="dxa"/>
          </w:tcPr>
          <w:p w:rsidR="006B6DC7" w:rsidRDefault="009B34B5">
            <w:r>
              <w:t>Attilio</w:t>
            </w:r>
          </w:p>
        </w:tc>
      </w:tr>
      <w:tr w:rsidR="006B6DC7">
        <w:tc>
          <w:tcPr>
            <w:tcW w:w="1394" w:type="dxa"/>
            <w:tcBorders>
              <w:top w:val="nil"/>
            </w:tcBorders>
            <w:vAlign w:val="center"/>
          </w:tcPr>
          <w:p w:rsidR="006B6DC7" w:rsidRDefault="006B6DC7"/>
        </w:tc>
        <w:tc>
          <w:tcPr>
            <w:tcW w:w="1175" w:type="dxa"/>
          </w:tcPr>
          <w:p w:rsidR="006B6DC7" w:rsidRDefault="009B34B5">
            <w:r>
              <w:t>2 meeting cycles</w:t>
            </w:r>
          </w:p>
        </w:tc>
        <w:tc>
          <w:tcPr>
            <w:tcW w:w="4149" w:type="dxa"/>
          </w:tcPr>
          <w:p w:rsidR="006B6DC7" w:rsidRDefault="009B34B5">
            <w:pPr>
              <w:pBdr>
                <w:top w:val="nil"/>
                <w:left w:val="nil"/>
                <w:bottom w:val="nil"/>
                <w:right w:val="nil"/>
                <w:between w:val="nil"/>
              </w:pBdr>
            </w:pPr>
            <w:r>
              <w:t>Reducing number of parameters</w:t>
            </w:r>
          </w:p>
          <w:p w:rsidR="006B6DC7" w:rsidRDefault="006B6DC7"/>
        </w:tc>
        <w:tc>
          <w:tcPr>
            <w:tcW w:w="2627" w:type="dxa"/>
          </w:tcPr>
          <w:p w:rsidR="006B6DC7" w:rsidRDefault="009B34B5">
            <w:r>
              <w:t>Attilio</w:t>
            </w:r>
          </w:p>
        </w:tc>
      </w:tr>
      <w:tr w:rsidR="006B6DC7">
        <w:tc>
          <w:tcPr>
            <w:tcW w:w="1394" w:type="dxa"/>
            <w:tcBorders>
              <w:top w:val="nil"/>
            </w:tcBorders>
            <w:vAlign w:val="center"/>
          </w:tcPr>
          <w:p w:rsidR="006B6DC7" w:rsidRDefault="006B6DC7"/>
        </w:tc>
        <w:tc>
          <w:tcPr>
            <w:tcW w:w="1175" w:type="dxa"/>
          </w:tcPr>
          <w:p w:rsidR="006B6DC7" w:rsidRDefault="009B34B5">
            <w:bookmarkStart w:id="7" w:name="_heading=h.1fob9te" w:colFirst="0" w:colLast="0"/>
            <w:bookmarkEnd w:id="7"/>
            <w:r>
              <w:t>2 meeting cycles</w:t>
            </w:r>
          </w:p>
        </w:tc>
        <w:tc>
          <w:tcPr>
            <w:tcW w:w="4149" w:type="dxa"/>
          </w:tcPr>
          <w:p w:rsidR="006B6DC7" w:rsidRDefault="009B34B5">
            <w:pPr>
              <w:pBdr>
                <w:top w:val="nil"/>
                <w:left w:val="nil"/>
                <w:bottom w:val="nil"/>
                <w:right w:val="nil"/>
                <w:between w:val="nil"/>
              </w:pBdr>
            </w:pPr>
            <w:r>
              <w:t>Find a proxy for the encoding rate</w:t>
            </w:r>
          </w:p>
          <w:p w:rsidR="006B6DC7" w:rsidRDefault="006B6DC7">
            <w:pPr>
              <w:pBdr>
                <w:top w:val="nil"/>
                <w:left w:val="nil"/>
                <w:bottom w:val="nil"/>
                <w:right w:val="nil"/>
                <w:between w:val="nil"/>
              </w:pBdr>
            </w:pPr>
          </w:p>
        </w:tc>
        <w:tc>
          <w:tcPr>
            <w:tcW w:w="2627" w:type="dxa"/>
          </w:tcPr>
          <w:p w:rsidR="006B6DC7" w:rsidRDefault="009B34B5">
            <w:r>
              <w:t>Attilio, Alessandra, Roberto</w:t>
            </w:r>
          </w:p>
        </w:tc>
      </w:tr>
      <w:tr w:rsidR="006B6DC7">
        <w:tc>
          <w:tcPr>
            <w:tcW w:w="1394" w:type="dxa"/>
            <w:vAlign w:val="center"/>
          </w:tcPr>
          <w:p w:rsidR="006B6DC7" w:rsidRDefault="009B34B5">
            <w:r>
              <w:t>Super Resolution</w:t>
            </w:r>
          </w:p>
        </w:tc>
        <w:tc>
          <w:tcPr>
            <w:tcW w:w="1175" w:type="dxa"/>
          </w:tcPr>
          <w:p w:rsidR="006B6DC7" w:rsidRDefault="009B34B5">
            <w:r>
              <w:t>2 meeting cycles</w:t>
            </w:r>
          </w:p>
        </w:tc>
        <w:tc>
          <w:tcPr>
            <w:tcW w:w="4149" w:type="dxa"/>
          </w:tcPr>
          <w:p w:rsidR="006B6DC7" w:rsidRDefault="009B34B5">
            <w:r>
              <w:t>More experiments to improve the BD-rate</w:t>
            </w:r>
          </w:p>
        </w:tc>
        <w:tc>
          <w:tcPr>
            <w:tcW w:w="2627" w:type="dxa"/>
          </w:tcPr>
          <w:p w:rsidR="006B6DC7" w:rsidRDefault="009B34B5">
            <w:r>
              <w:t>Francesco, Antonio, Mattia and Alessandro</w:t>
            </w:r>
          </w:p>
        </w:tc>
      </w:tr>
      <w:tr w:rsidR="006B6DC7">
        <w:tc>
          <w:tcPr>
            <w:tcW w:w="1394" w:type="dxa"/>
            <w:tcBorders>
              <w:top w:val="nil"/>
            </w:tcBorders>
            <w:vAlign w:val="center"/>
          </w:tcPr>
          <w:p w:rsidR="006B6DC7" w:rsidRDefault="006B6DC7">
            <w:pPr>
              <w:widowControl w:val="0"/>
              <w:pBdr>
                <w:top w:val="nil"/>
                <w:left w:val="nil"/>
                <w:bottom w:val="nil"/>
                <w:right w:val="nil"/>
                <w:between w:val="nil"/>
              </w:pBdr>
              <w:spacing w:line="276" w:lineRule="auto"/>
            </w:pPr>
          </w:p>
        </w:tc>
        <w:tc>
          <w:tcPr>
            <w:tcW w:w="1175" w:type="dxa"/>
          </w:tcPr>
          <w:p w:rsidR="006B6DC7" w:rsidRDefault="009B34B5">
            <w:r>
              <w:t>1 meeting cycles</w:t>
            </w:r>
          </w:p>
        </w:tc>
        <w:tc>
          <w:tcPr>
            <w:tcW w:w="4149" w:type="dxa"/>
          </w:tcPr>
          <w:p w:rsidR="006B6DC7" w:rsidRDefault="009B34B5">
            <w:r>
              <w:t>Solve the QP 37 training HD24K issue</w:t>
            </w:r>
          </w:p>
          <w:p w:rsidR="006B6DC7" w:rsidRDefault="006B6DC7"/>
        </w:tc>
        <w:tc>
          <w:tcPr>
            <w:tcW w:w="2627" w:type="dxa"/>
          </w:tcPr>
          <w:p w:rsidR="006B6DC7" w:rsidRDefault="009B34B5">
            <w:r>
              <w:t>Francesco, Antonio, Mattia and Alessandro</w:t>
            </w:r>
          </w:p>
        </w:tc>
      </w:tr>
      <w:tr w:rsidR="006B6DC7">
        <w:tc>
          <w:tcPr>
            <w:tcW w:w="1394" w:type="dxa"/>
            <w:tcBorders>
              <w:top w:val="nil"/>
            </w:tcBorders>
            <w:vAlign w:val="center"/>
          </w:tcPr>
          <w:p w:rsidR="006B6DC7" w:rsidRDefault="006B6DC7">
            <w:pPr>
              <w:widowControl w:val="0"/>
              <w:pBdr>
                <w:top w:val="nil"/>
                <w:left w:val="nil"/>
                <w:bottom w:val="nil"/>
                <w:right w:val="nil"/>
                <w:between w:val="nil"/>
              </w:pBdr>
              <w:spacing w:line="276" w:lineRule="auto"/>
            </w:pPr>
          </w:p>
        </w:tc>
        <w:tc>
          <w:tcPr>
            <w:tcW w:w="1175" w:type="dxa"/>
          </w:tcPr>
          <w:p w:rsidR="006B6DC7" w:rsidRDefault="009B34B5">
            <w:r>
              <w:t>1 meeting cycles</w:t>
            </w:r>
          </w:p>
        </w:tc>
        <w:tc>
          <w:tcPr>
            <w:tcW w:w="4149" w:type="dxa"/>
          </w:tcPr>
          <w:p w:rsidR="006B6DC7" w:rsidRDefault="009B34B5">
            <w:r>
              <w:t>Visual evaluation of the compressed test sequences</w:t>
            </w:r>
          </w:p>
          <w:p w:rsidR="006B6DC7" w:rsidRDefault="006B6DC7"/>
        </w:tc>
        <w:tc>
          <w:tcPr>
            <w:tcW w:w="2627" w:type="dxa"/>
          </w:tcPr>
          <w:p w:rsidR="006B6DC7" w:rsidRDefault="009B34B5">
            <w:r>
              <w:t>All</w:t>
            </w:r>
          </w:p>
        </w:tc>
      </w:tr>
      <w:tr w:rsidR="006B6DC7">
        <w:tc>
          <w:tcPr>
            <w:tcW w:w="1394" w:type="dxa"/>
            <w:vAlign w:val="center"/>
          </w:tcPr>
          <w:p w:rsidR="006B6DC7" w:rsidRDefault="009B34B5">
            <w:pPr>
              <w:widowControl w:val="0"/>
              <w:pBdr>
                <w:top w:val="nil"/>
                <w:left w:val="nil"/>
                <w:bottom w:val="nil"/>
                <w:right w:val="nil"/>
                <w:between w:val="nil"/>
              </w:pBdr>
              <w:spacing w:line="276" w:lineRule="auto"/>
            </w:pPr>
            <w:r>
              <w:t xml:space="preserve">Next </w:t>
            </w:r>
            <w:bookmarkStart w:id="8" w:name="_GoBack"/>
            <w:bookmarkEnd w:id="8"/>
            <w:r>
              <w:t>candidate AI-tool</w:t>
            </w:r>
          </w:p>
        </w:tc>
        <w:tc>
          <w:tcPr>
            <w:tcW w:w="1175" w:type="dxa"/>
          </w:tcPr>
          <w:p w:rsidR="006B6DC7" w:rsidRDefault="009B34B5">
            <w:r>
              <w:t>2 meeting cycle</w:t>
            </w:r>
          </w:p>
        </w:tc>
        <w:tc>
          <w:tcPr>
            <w:tcW w:w="4149" w:type="dxa"/>
          </w:tcPr>
          <w:p w:rsidR="006B6DC7" w:rsidRDefault="009B34B5">
            <w:r>
              <w:t>Evaluation of possible candidate (pros/cons in terms of open source, results..)</w:t>
            </w:r>
          </w:p>
          <w:p w:rsidR="006B6DC7" w:rsidRDefault="006B6DC7"/>
        </w:tc>
        <w:tc>
          <w:tcPr>
            <w:tcW w:w="2627" w:type="dxa"/>
          </w:tcPr>
          <w:p w:rsidR="006B6DC7" w:rsidRDefault="009B34B5">
            <w:r>
              <w:t>All</w:t>
            </w:r>
          </w:p>
        </w:tc>
      </w:tr>
    </w:tbl>
    <w:p w:rsidR="006B6DC7" w:rsidRDefault="006B6DC7">
      <w:bookmarkStart w:id="9" w:name="_heading=h.gjdgxs" w:colFirst="0" w:colLast="0"/>
      <w:bookmarkEnd w:id="9"/>
    </w:p>
    <w:p w:rsidR="006B6DC7" w:rsidRDefault="009B34B5">
      <w:pPr>
        <w:rPr>
          <w:b/>
        </w:rPr>
      </w:pPr>
      <w:r>
        <w:rPr>
          <w:b/>
        </w:rPr>
        <w:t>Future plan</w:t>
      </w:r>
    </w:p>
    <w:p w:rsidR="006B6DC7" w:rsidRDefault="009B34B5">
      <w:pPr>
        <w:numPr>
          <w:ilvl w:val="0"/>
          <w:numId w:val="1"/>
        </w:numPr>
        <w:pBdr>
          <w:top w:val="nil"/>
          <w:left w:val="nil"/>
          <w:bottom w:val="nil"/>
          <w:right w:val="nil"/>
          <w:between w:val="nil"/>
        </w:pBdr>
      </w:pPr>
      <w:r>
        <w:rPr>
          <w:color w:val="000000"/>
        </w:rPr>
        <w:t>motion compensation: improve the motion compensation using NN architecture</w:t>
      </w:r>
    </w:p>
    <w:p w:rsidR="006B6DC7" w:rsidRDefault="009B34B5">
      <w:pPr>
        <w:numPr>
          <w:ilvl w:val="0"/>
          <w:numId w:val="1"/>
        </w:numPr>
        <w:pBdr>
          <w:top w:val="nil"/>
          <w:left w:val="nil"/>
          <w:bottom w:val="nil"/>
          <w:right w:val="nil"/>
          <w:between w:val="nil"/>
        </w:pBdr>
        <w:jc w:val="left"/>
      </w:pPr>
      <w:r>
        <w:rPr>
          <w:color w:val="000000"/>
        </w:rPr>
        <w:t>inter prediction: use NN architectures to refine the quality of inter-predicted blocks; introduce new inter prediction mode which tries to predict a frame directly without the use o</w:t>
      </w:r>
      <w:r>
        <w:rPr>
          <w:color w:val="000000"/>
        </w:rPr>
        <w:t>f side information; leverage on Optical Flow algorithm for the motion estimation.</w:t>
      </w:r>
    </w:p>
    <w:p w:rsidR="006B6DC7" w:rsidRDefault="009B34B5">
      <w:pPr>
        <w:numPr>
          <w:ilvl w:val="0"/>
          <w:numId w:val="1"/>
        </w:numPr>
        <w:pBdr>
          <w:top w:val="nil"/>
          <w:left w:val="nil"/>
          <w:bottom w:val="nil"/>
          <w:right w:val="nil"/>
          <w:between w:val="nil"/>
        </w:pBdr>
        <w:jc w:val="left"/>
      </w:pPr>
      <w:r>
        <w:rPr>
          <w:color w:val="000000"/>
        </w:rPr>
        <w:t>quantization: uniform scalar quantization used in classical video codec standard does not conform to the characteristics of human visual system. It is possible to use a quant</w:t>
      </w:r>
      <w:r>
        <w:rPr>
          <w:color w:val="000000"/>
        </w:rPr>
        <w:t>ization strategy based on neural networks.</w:t>
      </w:r>
    </w:p>
    <w:p w:rsidR="006B6DC7" w:rsidRDefault="009B34B5">
      <w:pPr>
        <w:numPr>
          <w:ilvl w:val="0"/>
          <w:numId w:val="1"/>
        </w:numPr>
        <w:pBdr>
          <w:top w:val="nil"/>
          <w:left w:val="nil"/>
          <w:bottom w:val="nil"/>
          <w:right w:val="nil"/>
          <w:between w:val="nil"/>
        </w:pBdr>
        <w:jc w:val="left"/>
      </w:pPr>
      <w:r>
        <w:rPr>
          <w:color w:val="000000"/>
        </w:rPr>
        <w:t>arithmetic encoder: improve the CABAC performance by leveraging NN to directly predict the probability distribution of intra modes instead of the handcraft context models</w:t>
      </w:r>
    </w:p>
    <w:p w:rsidR="006B6DC7" w:rsidRDefault="006B6DC7"/>
    <w:sectPr w:rsidR="006B6DC7">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2CE"/>
    <w:multiLevelType w:val="multilevel"/>
    <w:tmpl w:val="37949D22"/>
    <w:lvl w:ilvl="0">
      <w:start w:val="1"/>
      <w:numFmt w:val="bullet"/>
      <w:pStyle w:val="ANNEX"/>
      <w:lvlText w:val="●"/>
      <w:lvlJc w:val="left"/>
      <w:pPr>
        <w:ind w:left="1440" w:hanging="360"/>
      </w:pPr>
      <w:rPr>
        <w:u w:val="none"/>
      </w:rPr>
    </w:lvl>
    <w:lvl w:ilvl="1">
      <w:start w:val="1"/>
      <w:numFmt w:val="bullet"/>
      <w:pStyle w:val="a2"/>
      <w:lvlText w:val="○"/>
      <w:lvlJc w:val="left"/>
      <w:pPr>
        <w:ind w:left="2160" w:hanging="360"/>
      </w:pPr>
      <w:rPr>
        <w:u w:val="none"/>
      </w:rPr>
    </w:lvl>
    <w:lvl w:ilvl="2">
      <w:start w:val="1"/>
      <w:numFmt w:val="bullet"/>
      <w:pStyle w:val="a3"/>
      <w:lvlText w:val="■"/>
      <w:lvlJc w:val="left"/>
      <w:pPr>
        <w:ind w:left="2880" w:hanging="360"/>
      </w:pPr>
      <w:rPr>
        <w:u w:val="none"/>
      </w:rPr>
    </w:lvl>
    <w:lvl w:ilvl="3">
      <w:start w:val="1"/>
      <w:numFmt w:val="bullet"/>
      <w:pStyle w:val="a4"/>
      <w:lvlText w:val="●"/>
      <w:lvlJc w:val="left"/>
      <w:pPr>
        <w:ind w:left="3600" w:hanging="360"/>
      </w:pPr>
      <w:rPr>
        <w:u w:val="none"/>
      </w:rPr>
    </w:lvl>
    <w:lvl w:ilvl="4">
      <w:start w:val="1"/>
      <w:numFmt w:val="bullet"/>
      <w:pStyle w:val="a5"/>
      <w:lvlText w:val="○"/>
      <w:lvlJc w:val="left"/>
      <w:pPr>
        <w:ind w:left="4320" w:hanging="360"/>
      </w:pPr>
      <w:rPr>
        <w:u w:val="none"/>
      </w:rPr>
    </w:lvl>
    <w:lvl w:ilvl="5">
      <w:start w:val="1"/>
      <w:numFmt w:val="bullet"/>
      <w:pStyle w:val="a6"/>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B961710"/>
    <w:multiLevelType w:val="multilevel"/>
    <w:tmpl w:val="F342D0AE"/>
    <w:lvl w:ilvl="0">
      <w:start w:val="1"/>
      <w:numFmt w:val="bullet"/>
      <w:pStyle w:val="Titolo1"/>
      <w:lvlText w:val="●"/>
      <w:lvlJc w:val="left"/>
      <w:pPr>
        <w:ind w:left="720" w:hanging="360"/>
      </w:pPr>
      <w:rPr>
        <w:rFonts w:ascii="Noto Sans Symbols" w:eastAsia="Noto Sans Symbols" w:hAnsi="Noto Sans Symbols" w:cs="Noto Sans Symbols"/>
      </w:rPr>
    </w:lvl>
    <w:lvl w:ilvl="1">
      <w:start w:val="1"/>
      <w:numFmt w:val="bullet"/>
      <w:pStyle w:val="Titolo2"/>
      <w:lvlText w:val="o"/>
      <w:lvlJc w:val="left"/>
      <w:pPr>
        <w:ind w:left="1440" w:hanging="360"/>
      </w:pPr>
      <w:rPr>
        <w:rFonts w:ascii="Courier New" w:eastAsia="Courier New" w:hAnsi="Courier New" w:cs="Courier New"/>
      </w:rPr>
    </w:lvl>
    <w:lvl w:ilvl="2">
      <w:start w:val="1"/>
      <w:numFmt w:val="bullet"/>
      <w:pStyle w:val="Titolo3"/>
      <w:lvlText w:val="▪"/>
      <w:lvlJc w:val="left"/>
      <w:pPr>
        <w:ind w:left="2160" w:hanging="360"/>
      </w:pPr>
      <w:rPr>
        <w:rFonts w:ascii="Noto Sans Symbols" w:eastAsia="Noto Sans Symbols" w:hAnsi="Noto Sans Symbols" w:cs="Noto Sans Symbols"/>
      </w:rPr>
    </w:lvl>
    <w:lvl w:ilvl="3">
      <w:start w:val="1"/>
      <w:numFmt w:val="bullet"/>
      <w:pStyle w:val="Titolo4"/>
      <w:lvlText w:val="●"/>
      <w:lvlJc w:val="left"/>
      <w:pPr>
        <w:ind w:left="2880" w:hanging="360"/>
      </w:pPr>
      <w:rPr>
        <w:rFonts w:ascii="Noto Sans Symbols" w:eastAsia="Noto Sans Symbols" w:hAnsi="Noto Sans Symbols" w:cs="Noto Sans Symbols"/>
      </w:rPr>
    </w:lvl>
    <w:lvl w:ilvl="4">
      <w:start w:val="1"/>
      <w:numFmt w:val="bullet"/>
      <w:pStyle w:val="Titolo5"/>
      <w:lvlText w:val="o"/>
      <w:lvlJc w:val="left"/>
      <w:pPr>
        <w:ind w:left="3600" w:hanging="360"/>
      </w:pPr>
      <w:rPr>
        <w:rFonts w:ascii="Courier New" w:eastAsia="Courier New" w:hAnsi="Courier New" w:cs="Courier New"/>
      </w:rPr>
    </w:lvl>
    <w:lvl w:ilvl="5">
      <w:start w:val="1"/>
      <w:numFmt w:val="bullet"/>
      <w:pStyle w:val="Titolo6"/>
      <w:lvlText w:val="▪"/>
      <w:lvlJc w:val="left"/>
      <w:pPr>
        <w:ind w:left="4320" w:hanging="360"/>
      </w:pPr>
      <w:rPr>
        <w:rFonts w:ascii="Noto Sans Symbols" w:eastAsia="Noto Sans Symbols" w:hAnsi="Noto Sans Symbols" w:cs="Noto Sans Symbols"/>
      </w:rPr>
    </w:lvl>
    <w:lvl w:ilvl="6">
      <w:start w:val="1"/>
      <w:numFmt w:val="bullet"/>
      <w:pStyle w:val="Titolo7"/>
      <w:lvlText w:val="●"/>
      <w:lvlJc w:val="left"/>
      <w:pPr>
        <w:ind w:left="5040" w:hanging="360"/>
      </w:pPr>
      <w:rPr>
        <w:rFonts w:ascii="Noto Sans Symbols" w:eastAsia="Noto Sans Symbols" w:hAnsi="Noto Sans Symbols" w:cs="Noto Sans Symbols"/>
      </w:rPr>
    </w:lvl>
    <w:lvl w:ilvl="7">
      <w:start w:val="1"/>
      <w:numFmt w:val="bullet"/>
      <w:pStyle w:val="Titolo8"/>
      <w:lvlText w:val="o"/>
      <w:lvlJc w:val="left"/>
      <w:pPr>
        <w:ind w:left="5760" w:hanging="360"/>
      </w:pPr>
      <w:rPr>
        <w:rFonts w:ascii="Courier New" w:eastAsia="Courier New" w:hAnsi="Courier New" w:cs="Courier New"/>
      </w:rPr>
    </w:lvl>
    <w:lvl w:ilvl="8">
      <w:start w:val="1"/>
      <w:numFmt w:val="bullet"/>
      <w:pStyle w:val="Titolo9"/>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C7"/>
    <w:rsid w:val="006B6DC7"/>
    <w:rsid w:val="009B34B5"/>
    <w:rsid w:val="00B55784"/>
    <w:rsid w:val="00F1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0245"/>
  <w15:docId w15:val="{524018A3-0B1D-48A3-86F4-F07FDCAF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3E3F"/>
    <w:rPr>
      <w:rFonts w:eastAsia="SimSun"/>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pPr>
      <w:spacing w:after="200" w:line="276" w:lineRule="auto"/>
    </w:pPr>
    <w:rPr>
      <w:rFonts w:ascii="Cambria" w:eastAsia="Cambria" w:hAnsi="Cambria" w:cs="Cambria"/>
      <w:i/>
      <w:color w:val="4F81BD"/>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8" w:type="dxa"/>
        <w:bottom w:w="100" w:type="dxa"/>
        <w:right w:w="108" w:type="dxa"/>
      </w:tblCellMar>
    </w:tblPr>
  </w:style>
  <w:style w:type="table" w:customStyle="1" w:styleId="ab">
    <w:basedOn w:val="TableNormal1"/>
    <w:tblPr>
      <w:tblStyleRowBandSize w:val="1"/>
      <w:tblStyleColBandSize w:val="1"/>
      <w:tblCellMar>
        <w:top w:w="100" w:type="dxa"/>
        <w:left w:w="108" w:type="dxa"/>
        <w:bottom w:w="100" w:type="dxa"/>
        <w:right w:w="108"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An64/bdxKz2IzZ1D3A2MNbLXg==">AMUW2mWkiWpzYRkEWbSfBHxwzIACF/LM4jRaKkXmDfhMIHoHnO0uRTFT6S7eUtrXxGCj2qgWIz1i07j6Uv5kSA99d68CQDBHdLjmYdSNdTFTLfgLGiq+ChUfEUzV8+7szzD54kPSZBtVE+kOfGYOHkead24NIjqcCpo5Tp/BA+vhrDB3ecSE3oYNYZoSgDyaXgEtpFTVtRw+UlfU2o0iwfKyUmppkqcBhrVrgjQOsySzaMSSHsazFwqpTgGqmF1qTWrk3G0pxoEBrtsDzQHRctEPIx5xs1OREbggpSQxYnAe/S78pjXAW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905</Words>
  <Characters>5161</Characters>
  <Application>Microsoft Office Word</Application>
  <DocSecurity>0</DocSecurity>
  <Lines>43</Lines>
  <Paragraphs>12</Paragraphs>
  <ScaleCrop>false</ScaleCrop>
  <Company>HP Inc.</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cp:lastModifiedBy>
  <cp:revision>4</cp:revision>
  <dcterms:created xsi:type="dcterms:W3CDTF">2021-10-26T11:36:00Z</dcterms:created>
  <dcterms:modified xsi:type="dcterms:W3CDTF">2021-12-22T07:58:00Z</dcterms:modified>
</cp:coreProperties>
</file>