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D6DD929" w14:textId="77777777" w:rsidTr="00FF7960">
        <w:tc>
          <w:tcPr>
            <w:tcW w:w="3358" w:type="dxa"/>
          </w:tcPr>
          <w:p w14:paraId="5043FB82" w14:textId="77777777" w:rsidR="003D2DDB" w:rsidRDefault="00CC3A91" w:rsidP="000D430D">
            <w:r>
              <w:object w:dxaOrig="9950" w:dyaOrig="3900" w14:anchorId="01BA6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pt;height:58.55pt" o:ole="">
                  <v:imagedata r:id="rId6" o:title=""/>
                </v:shape>
                <o:OLEObject Type="Embed" ProgID="PBrush" ShapeID="_x0000_i1025" DrawAspect="Content" ObjectID="_1707045601" r:id="rId7"/>
              </w:object>
            </w:r>
          </w:p>
        </w:tc>
        <w:tc>
          <w:tcPr>
            <w:tcW w:w="5997" w:type="dxa"/>
            <w:vAlign w:val="center"/>
          </w:tcPr>
          <w:p w14:paraId="5B148AF5" w14:textId="77777777" w:rsidR="003D2DDB" w:rsidRDefault="003D2DDB" w:rsidP="003D2DDB">
            <w:pPr>
              <w:jc w:val="center"/>
              <w:rPr>
                <w:sz w:val="32"/>
                <w:szCs w:val="32"/>
              </w:rPr>
            </w:pPr>
            <w:r w:rsidRPr="003D2DDB">
              <w:rPr>
                <w:sz w:val="32"/>
                <w:szCs w:val="32"/>
              </w:rPr>
              <w:t>Moving Picture, Audio and Data Coding by Artificial Intelligence</w:t>
            </w:r>
          </w:p>
          <w:p w14:paraId="3E23C5F3" w14:textId="77777777" w:rsidR="003D2DDB" w:rsidRPr="003D2DDB" w:rsidRDefault="003D2DDB" w:rsidP="003D2DDB">
            <w:pPr>
              <w:jc w:val="center"/>
              <w:rPr>
                <w:sz w:val="32"/>
                <w:szCs w:val="32"/>
              </w:rPr>
            </w:pPr>
            <w:r>
              <w:rPr>
                <w:sz w:val="32"/>
                <w:szCs w:val="32"/>
              </w:rPr>
              <w:t>www.mpai.community</w:t>
            </w:r>
          </w:p>
        </w:tc>
      </w:tr>
    </w:tbl>
    <w:p w14:paraId="7A30EA95"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206EABFD" w14:textId="77777777" w:rsidTr="00CC3A91">
        <w:tc>
          <w:tcPr>
            <w:tcW w:w="959" w:type="dxa"/>
            <w:tcBorders>
              <w:top w:val="nil"/>
              <w:left w:val="nil"/>
              <w:bottom w:val="nil"/>
              <w:right w:val="nil"/>
            </w:tcBorders>
          </w:tcPr>
          <w:p w14:paraId="41A45D86" w14:textId="5F09391B" w:rsidR="00B81E8E" w:rsidRPr="006D5D45" w:rsidRDefault="00E52108" w:rsidP="00981143">
            <w:pPr>
              <w:jc w:val="right"/>
              <w:rPr>
                <w:b/>
                <w:bCs/>
              </w:rPr>
            </w:pPr>
            <w:r>
              <w:rPr>
                <w:b/>
                <w:bCs/>
              </w:rPr>
              <w:t>N57</w:t>
            </w:r>
            <w:r w:rsidR="00A6267E">
              <w:rPr>
                <w:b/>
                <w:bCs/>
              </w:rPr>
              <w:t>8</w:t>
            </w:r>
          </w:p>
        </w:tc>
        <w:tc>
          <w:tcPr>
            <w:tcW w:w="8612" w:type="dxa"/>
            <w:tcBorders>
              <w:top w:val="nil"/>
              <w:left w:val="nil"/>
              <w:bottom w:val="nil"/>
              <w:right w:val="nil"/>
            </w:tcBorders>
          </w:tcPr>
          <w:p w14:paraId="59A4C036" w14:textId="044044F3" w:rsidR="00B81E8E" w:rsidRDefault="006D5D45" w:rsidP="00B81E8E">
            <w:pPr>
              <w:jc w:val="right"/>
            </w:pPr>
            <w:r>
              <w:t>2022</w:t>
            </w:r>
            <w:r w:rsidR="00981143">
              <w:t>/</w:t>
            </w:r>
            <w:r>
              <w:t>0</w:t>
            </w:r>
            <w:r w:rsidR="00CD66D3">
              <w:t>2</w:t>
            </w:r>
            <w:r w:rsidR="00981143">
              <w:t>/</w:t>
            </w:r>
            <w:r w:rsidR="00E52108">
              <w:t>23</w:t>
            </w:r>
          </w:p>
        </w:tc>
      </w:tr>
      <w:tr w:rsidR="003D2DDB" w14:paraId="41A63C15" w14:textId="77777777" w:rsidTr="00CC3A91">
        <w:tc>
          <w:tcPr>
            <w:tcW w:w="959" w:type="dxa"/>
            <w:tcBorders>
              <w:top w:val="nil"/>
              <w:left w:val="nil"/>
              <w:bottom w:val="nil"/>
              <w:right w:val="nil"/>
            </w:tcBorders>
          </w:tcPr>
          <w:p w14:paraId="50C8D09E" w14:textId="77777777" w:rsidR="003D2DDB" w:rsidRPr="006D5D45" w:rsidRDefault="003D2DDB" w:rsidP="007F2E7F">
            <w:pPr>
              <w:rPr>
                <w:b/>
                <w:bCs/>
              </w:rPr>
            </w:pPr>
            <w:r w:rsidRPr="006D5D45">
              <w:rPr>
                <w:b/>
                <w:bCs/>
              </w:rPr>
              <w:t>Source</w:t>
            </w:r>
          </w:p>
        </w:tc>
        <w:tc>
          <w:tcPr>
            <w:tcW w:w="8612" w:type="dxa"/>
            <w:tcBorders>
              <w:top w:val="nil"/>
              <w:left w:val="nil"/>
              <w:bottom w:val="nil"/>
              <w:right w:val="nil"/>
            </w:tcBorders>
          </w:tcPr>
          <w:p w14:paraId="42F810B8" w14:textId="740EA0DB" w:rsidR="003D2DDB" w:rsidRDefault="00E52108" w:rsidP="007F2E7F">
            <w:r>
              <w:t>ISAC</w:t>
            </w:r>
          </w:p>
        </w:tc>
      </w:tr>
      <w:tr w:rsidR="003D2DDB" w14:paraId="1BAFA166" w14:textId="77777777" w:rsidTr="00CC3A91">
        <w:tc>
          <w:tcPr>
            <w:tcW w:w="959" w:type="dxa"/>
            <w:tcBorders>
              <w:top w:val="nil"/>
              <w:left w:val="nil"/>
              <w:bottom w:val="nil"/>
              <w:right w:val="nil"/>
            </w:tcBorders>
          </w:tcPr>
          <w:p w14:paraId="215BD848" w14:textId="77777777" w:rsidR="003D2DDB" w:rsidRPr="006D5D45" w:rsidRDefault="00B81E8E" w:rsidP="007F2E7F">
            <w:pPr>
              <w:rPr>
                <w:b/>
                <w:bCs/>
              </w:rPr>
            </w:pPr>
            <w:r w:rsidRPr="006D5D45">
              <w:rPr>
                <w:b/>
                <w:bCs/>
              </w:rPr>
              <w:t>Title</w:t>
            </w:r>
          </w:p>
        </w:tc>
        <w:tc>
          <w:tcPr>
            <w:tcW w:w="8612" w:type="dxa"/>
            <w:tcBorders>
              <w:top w:val="nil"/>
              <w:left w:val="nil"/>
              <w:bottom w:val="nil"/>
              <w:right w:val="nil"/>
            </w:tcBorders>
          </w:tcPr>
          <w:p w14:paraId="5B851626" w14:textId="459B5E33" w:rsidR="003D2DDB" w:rsidRDefault="006D5D45" w:rsidP="007F2E7F">
            <w:r>
              <w:t>MPAI Patent Policy</w:t>
            </w:r>
          </w:p>
        </w:tc>
      </w:tr>
      <w:tr w:rsidR="003D2DDB" w14:paraId="48A22419" w14:textId="77777777" w:rsidTr="00CC3A91">
        <w:tc>
          <w:tcPr>
            <w:tcW w:w="959" w:type="dxa"/>
            <w:tcBorders>
              <w:top w:val="nil"/>
              <w:left w:val="nil"/>
              <w:bottom w:val="nil"/>
              <w:right w:val="nil"/>
            </w:tcBorders>
          </w:tcPr>
          <w:p w14:paraId="3BCF879E" w14:textId="77777777" w:rsidR="003D2DDB" w:rsidRPr="006D5D45" w:rsidRDefault="00B81E8E" w:rsidP="007F2E7F">
            <w:pPr>
              <w:rPr>
                <w:b/>
                <w:bCs/>
              </w:rPr>
            </w:pPr>
            <w:r w:rsidRPr="006D5D45">
              <w:rPr>
                <w:b/>
                <w:bCs/>
              </w:rPr>
              <w:t>Target</w:t>
            </w:r>
          </w:p>
        </w:tc>
        <w:tc>
          <w:tcPr>
            <w:tcW w:w="8612" w:type="dxa"/>
            <w:tcBorders>
              <w:top w:val="nil"/>
              <w:left w:val="nil"/>
              <w:bottom w:val="nil"/>
              <w:right w:val="nil"/>
            </w:tcBorders>
          </w:tcPr>
          <w:p w14:paraId="23928FC4" w14:textId="079F85CB" w:rsidR="003D2DDB" w:rsidRDefault="006D5D45" w:rsidP="007F2E7F">
            <w:r>
              <w:t>MPAI Members</w:t>
            </w:r>
          </w:p>
        </w:tc>
      </w:tr>
    </w:tbl>
    <w:p w14:paraId="0F4FC161" w14:textId="0DDC6F40" w:rsidR="003D2DDB" w:rsidRDefault="003D2DDB" w:rsidP="00FF52C2">
      <w:pPr>
        <w:jc w:val="both"/>
      </w:pPr>
    </w:p>
    <w:tbl>
      <w:tblPr>
        <w:tblStyle w:val="TableGrid"/>
        <w:tblW w:w="0" w:type="auto"/>
        <w:jc w:val="center"/>
        <w:tblLook w:val="04A0" w:firstRow="1" w:lastRow="0" w:firstColumn="1" w:lastColumn="0" w:noHBand="0" w:noVBand="1"/>
      </w:tblPr>
      <w:tblGrid>
        <w:gridCol w:w="1795"/>
        <w:gridCol w:w="7550"/>
      </w:tblGrid>
      <w:tr w:rsidR="002A61FA" w:rsidRPr="00785145" w14:paraId="11F0F384"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hideMark/>
          </w:tcPr>
          <w:p w14:paraId="097C16EB" w14:textId="77777777" w:rsidR="002A61FA" w:rsidRPr="00785145" w:rsidRDefault="002A61FA" w:rsidP="00447A19">
            <w:pPr>
              <w:jc w:val="center"/>
              <w:rPr>
                <w:b/>
                <w:bCs/>
              </w:rPr>
            </w:pPr>
            <w:r w:rsidRPr="00785145">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7887EF36" w14:textId="77777777" w:rsidR="002A61FA" w:rsidRPr="00785145" w:rsidRDefault="002A61FA" w:rsidP="00447A19">
            <w:pPr>
              <w:jc w:val="center"/>
              <w:rPr>
                <w:b/>
                <w:bCs/>
              </w:rPr>
            </w:pPr>
            <w:r w:rsidRPr="00785145">
              <w:rPr>
                <w:b/>
                <w:bCs/>
              </w:rPr>
              <w:t>Definition</w:t>
            </w:r>
          </w:p>
        </w:tc>
      </w:tr>
      <w:tr w:rsidR="002A61FA" w:rsidRPr="00785145" w14:paraId="3746A31D" w14:textId="77777777" w:rsidTr="0053556F">
        <w:tblPrEx>
          <w:jc w:val="left"/>
        </w:tblPrEx>
        <w:tc>
          <w:tcPr>
            <w:tcW w:w="1795" w:type="dxa"/>
          </w:tcPr>
          <w:p w14:paraId="63BABD08" w14:textId="77777777" w:rsidR="002A61FA" w:rsidRPr="00785145" w:rsidRDefault="002A61FA" w:rsidP="00447A19">
            <w:r w:rsidRPr="00785145">
              <w:t>Associate Member</w:t>
            </w:r>
          </w:p>
        </w:tc>
        <w:tc>
          <w:tcPr>
            <w:tcW w:w="7550" w:type="dxa"/>
          </w:tcPr>
          <w:p w14:paraId="0DF2D0F3" w14:textId="77777777" w:rsidR="002A61FA" w:rsidRPr="00785145" w:rsidRDefault="002A61FA" w:rsidP="00447A19">
            <w:pPr>
              <w:jc w:val="both"/>
            </w:pPr>
            <w:r w:rsidRPr="00785145">
              <w:t>A Member who does not have the right to vote</w:t>
            </w:r>
          </w:p>
        </w:tc>
      </w:tr>
      <w:tr w:rsidR="002A61FA" w:rsidRPr="00785145" w14:paraId="100BEB95"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hideMark/>
          </w:tcPr>
          <w:p w14:paraId="2BEC6927" w14:textId="77777777" w:rsidR="002A61FA" w:rsidRPr="00785145" w:rsidRDefault="002A61FA" w:rsidP="00447A19">
            <w:r w:rsidRPr="00785145">
              <w:t xml:space="preserve">Call for </w:t>
            </w:r>
            <w:r>
              <w:t>Technologies</w:t>
            </w:r>
            <w:r w:rsidRPr="00785145">
              <w:t xml:space="preserve"> (</w:t>
            </w:r>
            <w:proofErr w:type="spellStart"/>
            <w:r w:rsidRPr="00785145">
              <w:t>Cf</w:t>
            </w:r>
            <w:r>
              <w:t>T</w:t>
            </w:r>
            <w:proofErr w:type="spellEnd"/>
            <w:r w:rsidRPr="00785145">
              <w:t>)</w:t>
            </w:r>
          </w:p>
        </w:tc>
        <w:tc>
          <w:tcPr>
            <w:tcW w:w="7550" w:type="dxa"/>
            <w:tcBorders>
              <w:top w:val="single" w:sz="4" w:space="0" w:color="auto"/>
              <w:left w:val="single" w:sz="4" w:space="0" w:color="auto"/>
              <w:bottom w:val="single" w:sz="4" w:space="0" w:color="auto"/>
              <w:right w:val="single" w:sz="4" w:space="0" w:color="auto"/>
            </w:tcBorders>
            <w:hideMark/>
          </w:tcPr>
          <w:p w14:paraId="278AB9F0" w14:textId="56A3F008" w:rsidR="002A61FA" w:rsidRPr="00785145" w:rsidRDefault="002A61FA" w:rsidP="00447A19">
            <w:pPr>
              <w:jc w:val="both"/>
            </w:pPr>
            <w:r w:rsidRPr="00785145">
              <w:t>An open request directed to any party interested in proposing for standardisation by MPAI technology(</w:t>
            </w:r>
            <w:proofErr w:type="spellStart"/>
            <w:r w:rsidRPr="00785145">
              <w:t>ies</w:t>
            </w:r>
            <w:proofErr w:type="spellEnd"/>
            <w:r w:rsidRPr="00785145">
              <w:t>) that satisfy certain requirements.</w:t>
            </w:r>
          </w:p>
        </w:tc>
      </w:tr>
      <w:tr w:rsidR="002A61FA" w:rsidRPr="00785145" w14:paraId="4AA93A29"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hideMark/>
          </w:tcPr>
          <w:p w14:paraId="345959DE" w14:textId="77777777" w:rsidR="002A61FA" w:rsidRPr="00E73461" w:rsidRDefault="002A61FA" w:rsidP="00447A19">
            <w:r w:rsidRPr="00E73461">
              <w:t>Essential Patent</w:t>
            </w:r>
          </w:p>
        </w:tc>
        <w:tc>
          <w:tcPr>
            <w:tcW w:w="7550" w:type="dxa"/>
            <w:tcBorders>
              <w:top w:val="single" w:sz="4" w:space="0" w:color="auto"/>
              <w:left w:val="single" w:sz="4" w:space="0" w:color="auto"/>
              <w:bottom w:val="single" w:sz="4" w:space="0" w:color="auto"/>
              <w:right w:val="single" w:sz="4" w:space="0" w:color="auto"/>
            </w:tcBorders>
            <w:hideMark/>
          </w:tcPr>
          <w:p w14:paraId="62D96FF7" w14:textId="77777777" w:rsidR="002A61FA" w:rsidRPr="00785145" w:rsidRDefault="002A61FA" w:rsidP="00447A19">
            <w:pPr>
              <w:jc w:val="both"/>
            </w:pPr>
            <w:r w:rsidRPr="00E73461">
              <w:rPr>
                <w:lang w:val="en-US"/>
              </w:rPr>
              <w:t>A patent which, without a valid license, is infringed by a compliant implementation of the Technical Specification. The evaluation of essentiality is made by an independent chartered patent attorney who never worked for the owner of an Essential Patent.</w:t>
            </w:r>
          </w:p>
        </w:tc>
      </w:tr>
      <w:tr w:rsidR="002A61FA" w:rsidRPr="00785145" w14:paraId="7FEB5867"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hideMark/>
          </w:tcPr>
          <w:p w14:paraId="59291228" w14:textId="77777777" w:rsidR="002A61FA" w:rsidRPr="00785145" w:rsidRDefault="002A61FA" w:rsidP="00447A19">
            <w:r w:rsidRPr="00785145">
              <w:t>Framework Licence</w:t>
            </w:r>
            <w:r>
              <w:t xml:space="preserve"> (FWL)</w:t>
            </w:r>
          </w:p>
        </w:tc>
        <w:tc>
          <w:tcPr>
            <w:tcW w:w="7550" w:type="dxa"/>
            <w:tcBorders>
              <w:top w:val="single" w:sz="4" w:space="0" w:color="auto"/>
              <w:left w:val="single" w:sz="4" w:space="0" w:color="auto"/>
              <w:bottom w:val="single" w:sz="4" w:space="0" w:color="auto"/>
              <w:right w:val="single" w:sz="4" w:space="0" w:color="auto"/>
            </w:tcBorders>
            <w:hideMark/>
          </w:tcPr>
          <w:p w14:paraId="17AA6B84" w14:textId="323AAC0C" w:rsidR="002A61FA" w:rsidRPr="00785145" w:rsidRDefault="002A61FA" w:rsidP="00447A19">
            <w:pPr>
              <w:jc w:val="both"/>
              <w:rPr>
                <w:lang w:val="en-US"/>
              </w:rPr>
            </w:pPr>
            <w:bookmarkStart w:id="0" w:name="_Hlk54691956"/>
            <w:r w:rsidRPr="00785145">
              <w:rPr>
                <w:lang w:val="en-US"/>
              </w:rPr>
              <w:t xml:space="preserve">The conditions of use of a </w:t>
            </w:r>
            <w:proofErr w:type="spellStart"/>
            <w:r w:rsidRPr="00785145">
              <w:rPr>
                <w:lang w:val="en-US"/>
              </w:rPr>
              <w:t>licence</w:t>
            </w:r>
            <w:proofErr w:type="spellEnd"/>
            <w:r w:rsidRPr="00785145">
              <w:rPr>
                <w:lang w:val="en-US"/>
              </w:rPr>
              <w:t xml:space="preserve"> without the values, e.g.</w:t>
            </w:r>
            <w:r>
              <w:rPr>
                <w:lang w:val="en-US"/>
              </w:rPr>
              <w:t>,</w:t>
            </w:r>
            <w:r w:rsidRPr="00785145">
              <w:rPr>
                <w:lang w:val="en-US"/>
              </w:rPr>
              <w:t xml:space="preserve"> currency, percent, dates etc. A Framework </w:t>
            </w:r>
            <w:proofErr w:type="spellStart"/>
            <w:r w:rsidRPr="00785145">
              <w:rPr>
                <w:lang w:val="en-US"/>
              </w:rPr>
              <w:t>Licence</w:t>
            </w:r>
            <w:proofErr w:type="spellEnd"/>
            <w:r w:rsidRPr="00785145">
              <w:rPr>
                <w:lang w:val="en-US"/>
              </w:rPr>
              <w:t xml:space="preserve"> is developed </w:t>
            </w:r>
            <w:r w:rsidRPr="00785145">
              <w:t>in compliance with the gener</w:t>
            </w:r>
            <w:r w:rsidRPr="00785145">
              <w:softHyphen/>
              <w:t xml:space="preserve">ally accepted principles of competition law. </w:t>
            </w:r>
            <w:bookmarkEnd w:id="0"/>
          </w:p>
        </w:tc>
      </w:tr>
      <w:tr w:rsidR="002A61FA" w:rsidRPr="00785145" w14:paraId="0C0C5A27"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tcPr>
          <w:p w14:paraId="02AB6321" w14:textId="77777777" w:rsidR="002A61FA" w:rsidRPr="00785145" w:rsidRDefault="002A61FA" w:rsidP="00447A19">
            <w:r w:rsidRPr="00785145">
              <w:t>Intellectual Property</w:t>
            </w:r>
            <w:r>
              <w:t xml:space="preserve"> (IP)</w:t>
            </w:r>
          </w:p>
        </w:tc>
        <w:tc>
          <w:tcPr>
            <w:tcW w:w="7550" w:type="dxa"/>
            <w:tcBorders>
              <w:top w:val="single" w:sz="4" w:space="0" w:color="auto"/>
              <w:left w:val="single" w:sz="4" w:space="0" w:color="auto"/>
              <w:bottom w:val="single" w:sz="4" w:space="0" w:color="auto"/>
              <w:right w:val="single" w:sz="4" w:space="0" w:color="auto"/>
            </w:tcBorders>
          </w:tcPr>
          <w:p w14:paraId="04069846" w14:textId="77777777" w:rsidR="002A61FA" w:rsidRPr="00785145" w:rsidRDefault="002A61FA" w:rsidP="00447A19">
            <w:pPr>
              <w:jc w:val="both"/>
            </w:pPr>
            <w:r w:rsidRPr="00785145">
              <w:t>Intangible property that is the result of creativity, e.g.</w:t>
            </w:r>
            <w:r>
              <w:t>,</w:t>
            </w:r>
            <w:r w:rsidRPr="00785145">
              <w:t xml:space="preserve"> patents, copyrights, and trademarks.</w:t>
            </w:r>
          </w:p>
        </w:tc>
      </w:tr>
      <w:tr w:rsidR="002A61FA" w:rsidRPr="00785145" w14:paraId="4286FF65" w14:textId="77777777" w:rsidTr="00447A19">
        <w:trPr>
          <w:jc w:val="center"/>
        </w:trPr>
        <w:tc>
          <w:tcPr>
            <w:tcW w:w="1795" w:type="dxa"/>
            <w:tcBorders>
              <w:top w:val="single" w:sz="4" w:space="0" w:color="auto"/>
              <w:left w:val="single" w:sz="4" w:space="0" w:color="auto"/>
              <w:bottom w:val="single" w:sz="4" w:space="0" w:color="auto"/>
              <w:right w:val="single" w:sz="4" w:space="0" w:color="auto"/>
            </w:tcBorders>
          </w:tcPr>
          <w:p w14:paraId="50EB2E6C" w14:textId="77777777" w:rsidR="002A61FA" w:rsidRPr="00785145" w:rsidRDefault="002A61FA" w:rsidP="00447A19">
            <w:r w:rsidRPr="00785145">
              <w:t>Licence</w:t>
            </w:r>
          </w:p>
        </w:tc>
        <w:tc>
          <w:tcPr>
            <w:tcW w:w="7550" w:type="dxa"/>
            <w:tcBorders>
              <w:top w:val="single" w:sz="4" w:space="0" w:color="auto"/>
              <w:left w:val="single" w:sz="4" w:space="0" w:color="auto"/>
              <w:bottom w:val="single" w:sz="4" w:space="0" w:color="auto"/>
              <w:right w:val="single" w:sz="4" w:space="0" w:color="auto"/>
            </w:tcBorders>
          </w:tcPr>
          <w:p w14:paraId="6960D2E1" w14:textId="77777777" w:rsidR="002A61FA" w:rsidRPr="00785145" w:rsidRDefault="002A61FA" w:rsidP="00447A19">
            <w:pPr>
              <w:jc w:val="both"/>
            </w:pPr>
            <w:r w:rsidRPr="00785145">
              <w:t>A Framework Licence to which values, e.g.</w:t>
            </w:r>
            <w:r>
              <w:t>,</w:t>
            </w:r>
            <w:r w:rsidRPr="00785145">
              <w:t xml:space="preserve"> </w:t>
            </w:r>
            <w:r w:rsidRPr="00785145">
              <w:rPr>
                <w:lang w:val="en-US"/>
              </w:rPr>
              <w:t>currency, percent, dates etc., related to a specific Intellectual Property have been added.</w:t>
            </w:r>
          </w:p>
        </w:tc>
      </w:tr>
      <w:tr w:rsidR="002A61FA" w:rsidRPr="00785145" w14:paraId="12098388" w14:textId="77777777" w:rsidTr="00170C4B">
        <w:tblPrEx>
          <w:jc w:val="left"/>
        </w:tblPrEx>
        <w:trPr>
          <w:trHeight w:val="592"/>
        </w:trPr>
        <w:tc>
          <w:tcPr>
            <w:tcW w:w="1795" w:type="dxa"/>
          </w:tcPr>
          <w:p w14:paraId="2F9840E8" w14:textId="77777777" w:rsidR="002A61FA" w:rsidRPr="00785145" w:rsidRDefault="002A61FA" w:rsidP="00447A19">
            <w:r w:rsidRPr="00785145">
              <w:t>Principal Member</w:t>
            </w:r>
          </w:p>
        </w:tc>
        <w:tc>
          <w:tcPr>
            <w:tcW w:w="7550" w:type="dxa"/>
          </w:tcPr>
          <w:p w14:paraId="7EFEDA4C" w14:textId="77777777" w:rsidR="002A61FA" w:rsidRPr="00785145" w:rsidRDefault="002A61FA" w:rsidP="00447A19">
            <w:pPr>
              <w:jc w:val="both"/>
            </w:pPr>
            <w:r w:rsidRPr="00785145">
              <w:t>A Member who has the right to vote</w:t>
            </w:r>
            <w:r>
              <w:t>.</w:t>
            </w:r>
          </w:p>
        </w:tc>
      </w:tr>
      <w:tr w:rsidR="002A61FA" w:rsidRPr="00785145" w14:paraId="3161A114" w14:textId="77777777" w:rsidTr="00447A19">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1207BDDE" w14:textId="77777777" w:rsidR="002A61FA" w:rsidRPr="00785145" w:rsidRDefault="002A61FA" w:rsidP="00447A19">
            <w:r w:rsidRPr="00785145">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4E0BAFBC" w14:textId="77777777" w:rsidR="002A61FA" w:rsidRPr="00785145" w:rsidRDefault="002A61FA" w:rsidP="00447A19">
            <w:pPr>
              <w:jc w:val="both"/>
            </w:pPr>
            <w:r w:rsidRPr="00785145">
              <w:t>The collection of normative clauses for Data Coding implementing which a user can interoperate with other users employing a conforming implementation of the Technical Specification. A Technical Specification may include additional informative clauses for better understanding and implementation of normative clauses.</w:t>
            </w:r>
          </w:p>
        </w:tc>
      </w:tr>
    </w:tbl>
    <w:p w14:paraId="2C607777" w14:textId="77777777" w:rsidR="00AC06C4" w:rsidRDefault="00AC06C4" w:rsidP="00FF52C2">
      <w:pPr>
        <w:jc w:val="both"/>
      </w:pPr>
    </w:p>
    <w:p w14:paraId="5EFF60DA" w14:textId="0A38B84E" w:rsidR="00276B57" w:rsidRDefault="006D5D45" w:rsidP="00FF52C2">
      <w:pPr>
        <w:jc w:val="both"/>
      </w:pPr>
      <w:r>
        <w:t xml:space="preserve">MPAI develops its Technical Specifications based on a </w:t>
      </w:r>
      <w:r w:rsidR="00276B57">
        <w:t xml:space="preserve">sequential </w:t>
      </w:r>
      <w:r>
        <w:t>process</w:t>
      </w:r>
      <w:r w:rsidR="00276B57">
        <w:t xml:space="preserve"> involving the following steps: </w:t>
      </w:r>
    </w:p>
    <w:p w14:paraId="280C784E" w14:textId="42C97B97" w:rsidR="00276B57" w:rsidRDefault="00276B57" w:rsidP="00FF52C2">
      <w:pPr>
        <w:pStyle w:val="ListParagraph"/>
        <w:numPr>
          <w:ilvl w:val="0"/>
          <w:numId w:val="33"/>
        </w:numPr>
        <w:ind w:left="360"/>
        <w:jc w:val="both"/>
      </w:pPr>
      <w:r>
        <w:t>Proposal and collection of interest, and development of Use Cases and Functional Requirements, open to non-members</w:t>
      </w:r>
      <w:r w:rsidR="006321C7">
        <w:t xml:space="preserve">, unless a proposing member requests </w:t>
      </w:r>
      <w:r w:rsidR="0036358B">
        <w:t>member-only attendance</w:t>
      </w:r>
      <w:r>
        <w:t xml:space="preserve">. </w:t>
      </w:r>
    </w:p>
    <w:p w14:paraId="450E4BCE" w14:textId="75319B9A" w:rsidR="005A6746" w:rsidRPr="005A6746" w:rsidRDefault="00276B57" w:rsidP="00FF52C2">
      <w:pPr>
        <w:pStyle w:val="ListParagraph"/>
        <w:numPr>
          <w:ilvl w:val="0"/>
          <w:numId w:val="33"/>
        </w:numPr>
        <w:ind w:left="360"/>
        <w:jc w:val="both"/>
        <w:rPr>
          <w:lang w:val="en-US"/>
        </w:rPr>
      </w:pPr>
      <w:r>
        <w:t xml:space="preserve">Principal Members </w:t>
      </w:r>
      <w:r w:rsidR="00A72980">
        <w:t xml:space="preserve">(Associate Members </w:t>
      </w:r>
      <w:r w:rsidR="0036358B">
        <w:t>may</w:t>
      </w:r>
      <w:r w:rsidR="00A72980">
        <w:t xml:space="preserve"> become Principal Members at any time) </w:t>
      </w:r>
      <w:r>
        <w:t>develop the F</w:t>
      </w:r>
      <w:r w:rsidR="00057C1A">
        <w:t>WL</w:t>
      </w:r>
      <w:r>
        <w:t xml:space="preserve"> of the </w:t>
      </w:r>
      <w:r w:rsidR="00A72980">
        <w:t>Technical Specification,</w:t>
      </w:r>
      <w:r w:rsidR="005A6746">
        <w:t xml:space="preserve"> </w:t>
      </w:r>
      <w:proofErr w:type="gramStart"/>
      <w:r w:rsidR="00A72980">
        <w:t>taking into</w:t>
      </w:r>
      <w:r w:rsidR="00771AC8">
        <w:t xml:space="preserve"> account</w:t>
      </w:r>
      <w:proofErr w:type="gramEnd"/>
      <w:r w:rsidR="005A6746">
        <w:t xml:space="preserve"> the following elements</w:t>
      </w:r>
      <w:r w:rsidR="00A72980">
        <w:t>:</w:t>
      </w:r>
    </w:p>
    <w:p w14:paraId="1B58754A" w14:textId="31203F32" w:rsidR="005A6746" w:rsidRDefault="005A6746" w:rsidP="005A6746">
      <w:pPr>
        <w:pStyle w:val="ListParagraph"/>
        <w:numPr>
          <w:ilvl w:val="1"/>
          <w:numId w:val="33"/>
        </w:numPr>
        <w:jc w:val="both"/>
        <w:rPr>
          <w:lang w:val="en-US"/>
        </w:rPr>
      </w:pPr>
      <w:r>
        <w:rPr>
          <w:lang w:val="en-US"/>
        </w:rPr>
        <w:t>The</w:t>
      </w:r>
      <w:r w:rsidR="00FF52C2" w:rsidRPr="00FF52C2">
        <w:rPr>
          <w:lang w:val="en-US"/>
        </w:rPr>
        <w:t xml:space="preserve"> F</w:t>
      </w:r>
      <w:r w:rsidR="00057C1A">
        <w:rPr>
          <w:lang w:val="en-US"/>
        </w:rPr>
        <w:t>WL</w:t>
      </w:r>
      <w:r w:rsidR="00FF52C2" w:rsidRPr="00FF52C2">
        <w:rPr>
          <w:lang w:val="en-US"/>
        </w:rPr>
        <w:t xml:space="preserve"> is developed </w:t>
      </w:r>
      <w:r w:rsidR="00FF52C2" w:rsidRPr="00785145">
        <w:t>in compliance with the gener</w:t>
      </w:r>
      <w:r w:rsidR="00FF52C2" w:rsidRPr="00785145">
        <w:softHyphen/>
        <w:t>ally accepted principles of competition law</w:t>
      </w:r>
      <w:r w:rsidR="00FF52C2">
        <w:t xml:space="preserve"> and contains t</w:t>
      </w:r>
      <w:r w:rsidR="00FF52C2" w:rsidRPr="00FF52C2">
        <w:rPr>
          <w:lang w:val="en-US"/>
        </w:rPr>
        <w:t xml:space="preserve">he conditions of use of a </w:t>
      </w:r>
      <w:proofErr w:type="spellStart"/>
      <w:r w:rsidR="00E543EF">
        <w:rPr>
          <w:lang w:val="en-US"/>
        </w:rPr>
        <w:t>L</w:t>
      </w:r>
      <w:r w:rsidR="00FF52C2" w:rsidRPr="00FF52C2">
        <w:rPr>
          <w:lang w:val="en-US"/>
        </w:rPr>
        <w:t>icence</w:t>
      </w:r>
      <w:proofErr w:type="spellEnd"/>
      <w:r w:rsidR="00FF52C2" w:rsidRPr="00FF52C2">
        <w:rPr>
          <w:lang w:val="en-US"/>
        </w:rPr>
        <w:t xml:space="preserve"> without the values, e.g., currency, percent, dates etc. </w:t>
      </w:r>
    </w:p>
    <w:p w14:paraId="3A0EA58E" w14:textId="77777777" w:rsidR="00E24F7E" w:rsidRPr="00E24F7E" w:rsidRDefault="005A6746" w:rsidP="00A72980">
      <w:pPr>
        <w:pStyle w:val="ListParagraph"/>
        <w:numPr>
          <w:ilvl w:val="1"/>
          <w:numId w:val="33"/>
        </w:numPr>
        <w:jc w:val="both"/>
        <w:rPr>
          <w:lang w:val="en-US"/>
        </w:rPr>
      </w:pPr>
      <w:r>
        <w:rPr>
          <w:lang w:val="en-US"/>
        </w:rPr>
        <w:t>As a minimum, the</w:t>
      </w:r>
      <w:r w:rsidRPr="00FF52C2">
        <w:rPr>
          <w:lang w:val="en-US"/>
        </w:rPr>
        <w:t xml:space="preserve"> F</w:t>
      </w:r>
      <w:r w:rsidR="00057C1A">
        <w:rPr>
          <w:lang w:val="en-US"/>
        </w:rPr>
        <w:t>WL</w:t>
      </w:r>
      <w:r w:rsidRPr="00FF52C2">
        <w:rPr>
          <w:lang w:val="en-US"/>
        </w:rPr>
        <w:t xml:space="preserve"> </w:t>
      </w:r>
      <w:r w:rsidRPr="00785145">
        <w:t>state</w:t>
      </w:r>
      <w:r w:rsidR="00A72980">
        <w:t xml:space="preserve">s </w:t>
      </w:r>
      <w:r w:rsidR="005D6FB6">
        <w:t xml:space="preserve">that </w:t>
      </w:r>
    </w:p>
    <w:p w14:paraId="12A0109E" w14:textId="0524E62D" w:rsidR="00E24F7E" w:rsidRPr="00E24F7E" w:rsidRDefault="006E3F61" w:rsidP="00E24F7E">
      <w:pPr>
        <w:pStyle w:val="ListParagraph"/>
        <w:numPr>
          <w:ilvl w:val="2"/>
          <w:numId w:val="33"/>
        </w:numPr>
        <w:jc w:val="both"/>
        <w:rPr>
          <w:lang w:val="en-US"/>
        </w:rPr>
      </w:pPr>
      <w:r>
        <w:t xml:space="preserve">use of </w:t>
      </w:r>
      <w:r w:rsidR="00A72980" w:rsidRPr="00785145">
        <w:t xml:space="preserve">the </w:t>
      </w:r>
      <w:r w:rsidR="00A72980">
        <w:t>Technical Specification</w:t>
      </w:r>
      <w:r w:rsidR="00A72980" w:rsidRPr="00785145">
        <w:t xml:space="preserve"> </w:t>
      </w:r>
      <w:r>
        <w:t xml:space="preserve">to make implementations </w:t>
      </w:r>
      <w:r w:rsidR="00A72980" w:rsidRPr="00785145">
        <w:t>will be granted in a non-discriminatory fashion</w:t>
      </w:r>
      <w:r w:rsidR="00573E58">
        <w:t>.</w:t>
      </w:r>
    </w:p>
    <w:p w14:paraId="4254C12F" w14:textId="5104ECD8" w:rsidR="00A72980" w:rsidRPr="00A72980" w:rsidRDefault="00A72980" w:rsidP="00E24F7E">
      <w:pPr>
        <w:pStyle w:val="ListParagraph"/>
        <w:numPr>
          <w:ilvl w:val="2"/>
          <w:numId w:val="33"/>
        </w:numPr>
        <w:jc w:val="both"/>
        <w:rPr>
          <w:lang w:val="en-US"/>
        </w:rPr>
      </w:pPr>
      <w:r w:rsidRPr="00785145">
        <w:t xml:space="preserve">the total cost of the licenses issued by IPR holders will </w:t>
      </w:r>
      <w:r w:rsidR="00B13B7C">
        <w:t xml:space="preserve">1) </w:t>
      </w:r>
      <w:r w:rsidRPr="00785145">
        <w:t xml:space="preserve">be in line with the total cost of the licenses for similar data coding/decoding technologies and </w:t>
      </w:r>
      <w:r w:rsidR="00B13B7C">
        <w:t xml:space="preserve">2) </w:t>
      </w:r>
      <w:proofErr w:type="gramStart"/>
      <w:r w:rsidRPr="00785145">
        <w:lastRenderedPageBreak/>
        <w:t>take into account</w:t>
      </w:r>
      <w:proofErr w:type="gramEnd"/>
      <w:r w:rsidRPr="00785145">
        <w:t xml:space="preserve"> the value on the market of the specific standardised technology</w:t>
      </w:r>
      <w:r>
        <w:t>.</w:t>
      </w:r>
    </w:p>
    <w:p w14:paraId="01F7C38A" w14:textId="58A8CED9" w:rsidR="00A72980" w:rsidRDefault="00771AC8" w:rsidP="005A6746">
      <w:pPr>
        <w:pStyle w:val="ListParagraph"/>
        <w:numPr>
          <w:ilvl w:val="1"/>
          <w:numId w:val="33"/>
        </w:numPr>
        <w:jc w:val="both"/>
        <w:rPr>
          <w:lang w:val="en-US"/>
        </w:rPr>
      </w:pPr>
      <w:r>
        <w:rPr>
          <w:lang w:val="en-US"/>
        </w:rPr>
        <w:t>The</w:t>
      </w:r>
      <w:r w:rsidRPr="00FF52C2">
        <w:rPr>
          <w:lang w:val="en-US"/>
        </w:rPr>
        <w:t xml:space="preserve"> Framework </w:t>
      </w:r>
      <w:proofErr w:type="spellStart"/>
      <w:r w:rsidRPr="00FF52C2">
        <w:rPr>
          <w:lang w:val="en-US"/>
        </w:rPr>
        <w:t>Licence</w:t>
      </w:r>
      <w:proofErr w:type="spellEnd"/>
      <w:r w:rsidRPr="00FF52C2">
        <w:rPr>
          <w:lang w:val="en-US"/>
        </w:rPr>
        <w:t xml:space="preserve"> </w:t>
      </w:r>
      <w:r w:rsidR="00FF52C2" w:rsidRPr="00785145">
        <w:t>may cover</w:t>
      </w:r>
      <w:r w:rsidR="00FF52C2" w:rsidRPr="00FF52C2">
        <w:rPr>
          <w:lang w:val="en-US"/>
        </w:rPr>
        <w:t xml:space="preserve"> informative part(s) of a Technical Specification (e.g., Supplemental Enhancement Information (SEI) and Video Usability Information (VUI)) that could be needed for implementations of various systems.</w:t>
      </w:r>
      <w:r w:rsidR="005A6746">
        <w:rPr>
          <w:lang w:val="en-US"/>
        </w:rPr>
        <w:t xml:space="preserve"> </w:t>
      </w:r>
    </w:p>
    <w:p w14:paraId="1C798F5F" w14:textId="6C33F470" w:rsidR="004D0B81" w:rsidRDefault="004D0B81" w:rsidP="00FF52C2">
      <w:pPr>
        <w:pStyle w:val="ListParagraph"/>
        <w:numPr>
          <w:ilvl w:val="0"/>
          <w:numId w:val="33"/>
        </w:numPr>
        <w:ind w:left="360"/>
        <w:jc w:val="both"/>
        <w:rPr>
          <w:lang w:val="en-US"/>
        </w:rPr>
      </w:pPr>
      <w:r>
        <w:rPr>
          <w:lang w:val="en-US"/>
        </w:rPr>
        <w:t xml:space="preserve">Some non-technical documents may be developed, </w:t>
      </w:r>
      <w:proofErr w:type="gramStart"/>
      <w:r>
        <w:rPr>
          <w:lang w:val="en-US"/>
        </w:rPr>
        <w:t>approved</w:t>
      </w:r>
      <w:proofErr w:type="gramEnd"/>
      <w:r>
        <w:rPr>
          <w:lang w:val="en-US"/>
        </w:rPr>
        <w:t xml:space="preserve"> and published without a</w:t>
      </w:r>
      <w:r w:rsidR="000434F5">
        <w:rPr>
          <w:lang w:val="en-US"/>
        </w:rPr>
        <w:t>n</w:t>
      </w:r>
      <w:r>
        <w:rPr>
          <w:lang w:val="en-US"/>
        </w:rPr>
        <w:t xml:space="preserve"> FWL.</w:t>
      </w:r>
    </w:p>
    <w:p w14:paraId="12ACEA89" w14:textId="5BA14996" w:rsidR="0058734C" w:rsidRPr="0058734C" w:rsidRDefault="00FF52C2" w:rsidP="00FF52C2">
      <w:pPr>
        <w:pStyle w:val="ListParagraph"/>
        <w:numPr>
          <w:ilvl w:val="0"/>
          <w:numId w:val="33"/>
        </w:numPr>
        <w:ind w:left="360"/>
        <w:jc w:val="both"/>
        <w:rPr>
          <w:lang w:val="en-US"/>
        </w:rPr>
      </w:pPr>
      <w:r>
        <w:rPr>
          <w:lang w:val="en-US"/>
        </w:rPr>
        <w:t xml:space="preserve">A Call for Technologies is issued </w:t>
      </w:r>
      <w:proofErr w:type="gramStart"/>
      <w:r>
        <w:rPr>
          <w:lang w:val="en-US"/>
        </w:rPr>
        <w:t>making reference</w:t>
      </w:r>
      <w:proofErr w:type="gramEnd"/>
      <w:r>
        <w:rPr>
          <w:lang w:val="en-US"/>
        </w:rPr>
        <w:t xml:space="preserve"> to both </w:t>
      </w:r>
      <w:r>
        <w:t xml:space="preserve">Functional </w:t>
      </w:r>
      <w:r w:rsidR="005A6746">
        <w:t>Requirements</w:t>
      </w:r>
      <w:r w:rsidR="00FF176A">
        <w:t xml:space="preserve"> and FWL</w:t>
      </w:r>
      <w:r w:rsidR="00771AC8">
        <w:t>.</w:t>
      </w:r>
      <w:r w:rsidR="00FF176A">
        <w:t xml:space="preserve"> Anybody </w:t>
      </w:r>
      <w:r w:rsidR="00771AC8">
        <w:t>is allowed to respond to the Call</w:t>
      </w:r>
      <w:r w:rsidR="0058734C">
        <w:t xml:space="preserve"> considering the following:</w:t>
      </w:r>
    </w:p>
    <w:p w14:paraId="0D426AA7" w14:textId="1C568211" w:rsidR="0058734C" w:rsidRPr="0058734C" w:rsidRDefault="0058734C" w:rsidP="0058734C">
      <w:pPr>
        <w:pStyle w:val="ListParagraph"/>
        <w:numPr>
          <w:ilvl w:val="1"/>
          <w:numId w:val="33"/>
        </w:numPr>
        <w:jc w:val="both"/>
        <w:rPr>
          <w:lang w:val="en-US"/>
        </w:rPr>
      </w:pPr>
      <w:r>
        <w:t xml:space="preserve">Responses </w:t>
      </w:r>
      <w:r w:rsidRPr="00785145">
        <w:t xml:space="preserve">shall contain a declaration that </w:t>
      </w:r>
      <w:r>
        <w:t>the respondent</w:t>
      </w:r>
      <w:r w:rsidRPr="00785145">
        <w:t xml:space="preserve"> will make available the terms of the Licence related to </w:t>
      </w:r>
      <w:r>
        <w:t>their</w:t>
      </w:r>
      <w:r w:rsidRPr="00785145">
        <w:t xml:space="preserve"> Essential Patents according to the F</w:t>
      </w:r>
      <w:r w:rsidR="008A0E4F">
        <w:t>W</w:t>
      </w:r>
      <w:r w:rsidRPr="00785145">
        <w:t>L, alone or jointly with other IPR holders after the approval of the T</w:t>
      </w:r>
      <w:r>
        <w:t xml:space="preserve">echnical </w:t>
      </w:r>
      <w:r w:rsidRPr="00785145">
        <w:t>S</w:t>
      </w:r>
      <w:r>
        <w:t>pecification</w:t>
      </w:r>
      <w:r w:rsidRPr="00785145">
        <w:t xml:space="preserve"> by the G</w:t>
      </w:r>
      <w:r>
        <w:t xml:space="preserve">eneral </w:t>
      </w:r>
      <w:r w:rsidRPr="00785145">
        <w:t>A</w:t>
      </w:r>
      <w:r>
        <w:t>ssembly</w:t>
      </w:r>
      <w:r w:rsidRPr="00785145">
        <w:t xml:space="preserve"> and in no event after commercial implementations of the T</w:t>
      </w:r>
      <w:r>
        <w:t xml:space="preserve">echnical </w:t>
      </w:r>
      <w:r w:rsidRPr="00785145">
        <w:t>S</w:t>
      </w:r>
      <w:r>
        <w:t>pecification</w:t>
      </w:r>
      <w:r w:rsidRPr="00785145">
        <w:t xml:space="preserve"> become available on the market.</w:t>
      </w:r>
    </w:p>
    <w:p w14:paraId="03B73CBE" w14:textId="4379411E" w:rsidR="0030141C" w:rsidRPr="0030141C" w:rsidRDefault="0030141C" w:rsidP="0058734C">
      <w:pPr>
        <w:pStyle w:val="ListParagraph"/>
        <w:numPr>
          <w:ilvl w:val="1"/>
          <w:numId w:val="33"/>
        </w:numPr>
        <w:jc w:val="both"/>
        <w:rPr>
          <w:lang w:val="en-US"/>
        </w:rPr>
      </w:pPr>
      <w:r w:rsidRPr="00785145">
        <w:t>If a F</w:t>
      </w:r>
      <w:r w:rsidR="008A0E4F">
        <w:t>W</w:t>
      </w:r>
      <w:r w:rsidRPr="00785145">
        <w:t>L does not require that IPR holders make available the terms of the Licence related to their Essential Patents on condition that all IPR holders agree to allow use of their Essential Patents without a Licence and until certain events specified in the F</w:t>
      </w:r>
      <w:r w:rsidR="008A0E4F">
        <w:t>W</w:t>
      </w:r>
      <w:r w:rsidRPr="00785145">
        <w:t>L happen, the F</w:t>
      </w:r>
      <w:r w:rsidR="008A0E4F">
        <w:t>W</w:t>
      </w:r>
      <w:r w:rsidRPr="00785145">
        <w:t>L shall specify the terms of the Licence that IPR holders will make available in case such events happen.</w:t>
      </w:r>
    </w:p>
    <w:p w14:paraId="027C45D1" w14:textId="1B775830" w:rsidR="0030141C" w:rsidRPr="0030141C" w:rsidRDefault="0030141C" w:rsidP="0058734C">
      <w:pPr>
        <w:pStyle w:val="ListParagraph"/>
        <w:numPr>
          <w:ilvl w:val="1"/>
          <w:numId w:val="33"/>
        </w:numPr>
        <w:jc w:val="both"/>
        <w:rPr>
          <w:lang w:val="en-US"/>
        </w:rPr>
      </w:pPr>
      <w:r w:rsidRPr="00785145">
        <w:t>Each Member shall declare it will enter into a Licencing agreement for the SEP</w:t>
      </w:r>
      <w:r w:rsidR="008A0E4F">
        <w:t>s</w:t>
      </w:r>
      <w:r w:rsidRPr="00785145">
        <w:t xml:space="preserve"> held by other Members, if used, within one year from the publication by IPR holders of their Licensing terms. If the </w:t>
      </w:r>
      <w:r w:rsidR="00057C1A" w:rsidRPr="00785145">
        <w:t>F</w:t>
      </w:r>
      <w:r w:rsidR="008A0E4F">
        <w:t>W</w:t>
      </w:r>
      <w:r w:rsidR="00057C1A" w:rsidRPr="00785145">
        <w:t xml:space="preserve">L </w:t>
      </w:r>
      <w:r w:rsidRPr="00785145">
        <w:t xml:space="preserve">does not require that Members </w:t>
      </w:r>
      <w:bookmarkStart w:id="1" w:name="_Hlk49352561"/>
      <w:r w:rsidRPr="00785145">
        <w:t xml:space="preserve">enter into a Licensing agreement </w:t>
      </w:r>
      <w:bookmarkEnd w:id="1"/>
      <w:r w:rsidRPr="00785145">
        <w:t xml:space="preserve">for the </w:t>
      </w:r>
      <w:r w:rsidR="00057C1A" w:rsidRPr="00785145">
        <w:t>SEP</w:t>
      </w:r>
      <w:r w:rsidR="008A0E4F">
        <w:t>s</w:t>
      </w:r>
      <w:r w:rsidR="00057C1A" w:rsidRPr="00785145">
        <w:t xml:space="preserve"> </w:t>
      </w:r>
      <w:r w:rsidRPr="00785145">
        <w:t xml:space="preserve">held by other Members on condition that all IPR holders agree to allow use of their </w:t>
      </w:r>
      <w:r w:rsidR="00057C1A" w:rsidRPr="00785145">
        <w:t>SEP</w:t>
      </w:r>
      <w:r w:rsidR="008A0E4F">
        <w:t>s</w:t>
      </w:r>
      <w:r w:rsidR="00057C1A" w:rsidRPr="00785145">
        <w:t xml:space="preserve"> </w:t>
      </w:r>
      <w:r w:rsidRPr="00785145">
        <w:t xml:space="preserve">without a Licence and until certain events specified in the </w:t>
      </w:r>
      <w:r w:rsidR="00057C1A" w:rsidRPr="00785145">
        <w:t>F</w:t>
      </w:r>
      <w:r w:rsidR="008A0E4F">
        <w:t>WL</w:t>
      </w:r>
      <w:r w:rsidR="00057C1A" w:rsidRPr="00785145">
        <w:t xml:space="preserve"> </w:t>
      </w:r>
      <w:r w:rsidRPr="00785145">
        <w:t xml:space="preserve">happen, Members shall enter into a Licensing agreement for the </w:t>
      </w:r>
      <w:r w:rsidR="00057C1A" w:rsidRPr="00785145">
        <w:t>SEP</w:t>
      </w:r>
      <w:r w:rsidR="008A0E4F">
        <w:t>s</w:t>
      </w:r>
      <w:r w:rsidR="00057C1A" w:rsidRPr="00785145">
        <w:t xml:space="preserve"> </w:t>
      </w:r>
      <w:r w:rsidRPr="00785145">
        <w:t>held by other Members, if used, within one year from the publication by IPR holders of their Licensing terms, if one or more of such events happen.</w:t>
      </w:r>
    </w:p>
    <w:p w14:paraId="002E42FF" w14:textId="4A47195F" w:rsidR="0058734C" w:rsidRPr="0058734C" w:rsidRDefault="00771AC8" w:rsidP="0058734C">
      <w:pPr>
        <w:pStyle w:val="ListParagraph"/>
        <w:numPr>
          <w:ilvl w:val="1"/>
          <w:numId w:val="33"/>
        </w:numPr>
        <w:jc w:val="both"/>
        <w:rPr>
          <w:lang w:val="en-US"/>
        </w:rPr>
      </w:pPr>
      <w:r>
        <w:t xml:space="preserve">A non-member whose response </w:t>
      </w:r>
      <w:r w:rsidR="00F846A3">
        <w:t xml:space="preserve">for a Call for Technologies </w:t>
      </w:r>
      <w:r>
        <w:t xml:space="preserve">has been accepted shall join MPAI, </w:t>
      </w:r>
      <w:r w:rsidR="00CD658B">
        <w:t>otherwise</w:t>
      </w:r>
      <w:r>
        <w:t xml:space="preserve"> their response will be rejected. </w:t>
      </w:r>
    </w:p>
    <w:p w14:paraId="6B25D9BE" w14:textId="0AC6B6E8" w:rsidR="0058734C" w:rsidRPr="008A0E4F" w:rsidRDefault="0058734C" w:rsidP="0058734C">
      <w:pPr>
        <w:pStyle w:val="ListParagraph"/>
        <w:numPr>
          <w:ilvl w:val="1"/>
          <w:numId w:val="33"/>
        </w:numPr>
        <w:jc w:val="both"/>
        <w:rPr>
          <w:lang w:val="en-US"/>
        </w:rPr>
      </w:pPr>
      <w:r>
        <w:t>Any subsequent</w:t>
      </w:r>
      <w:r w:rsidR="008A0E4F">
        <w:t>ly submitted</w:t>
      </w:r>
      <w:r>
        <w:t xml:space="preserve"> document shall state that t</w:t>
      </w:r>
      <w:r w:rsidRPr="00785145">
        <w:t xml:space="preserve">he </w:t>
      </w:r>
      <w:r>
        <w:t>submitting m</w:t>
      </w:r>
      <w:r w:rsidRPr="00785145">
        <w:t>ember or its successors</w:t>
      </w:r>
      <w:r>
        <w:t xml:space="preserve"> </w:t>
      </w:r>
      <w:r w:rsidR="0030141C" w:rsidRPr="00785145">
        <w:t xml:space="preserve">will make available the terms of the Licence related to </w:t>
      </w:r>
      <w:r w:rsidR="0030141C">
        <w:t>the</w:t>
      </w:r>
      <w:r w:rsidR="0030141C" w:rsidRPr="00785145">
        <w:t xml:space="preserve"> Essential Patents </w:t>
      </w:r>
      <w:r w:rsidR="0030141C">
        <w:t xml:space="preserve">in the submitted document at the conditions of </w:t>
      </w:r>
      <w:r w:rsidR="00C67DDA">
        <w:t>4</w:t>
      </w:r>
      <w:r w:rsidR="0030141C">
        <w:t xml:space="preserve">.a and </w:t>
      </w:r>
      <w:r w:rsidR="00C67DDA">
        <w:t>4</w:t>
      </w:r>
      <w:r w:rsidR="0030141C">
        <w:t>.b.</w:t>
      </w:r>
    </w:p>
    <w:p w14:paraId="33728F94" w14:textId="44657968" w:rsidR="008A0E4F" w:rsidRPr="00785145" w:rsidRDefault="008A0E4F" w:rsidP="008A0E4F">
      <w:pPr>
        <w:pStyle w:val="ListParagraph"/>
        <w:numPr>
          <w:ilvl w:val="0"/>
          <w:numId w:val="33"/>
        </w:numPr>
        <w:ind w:left="360"/>
        <w:jc w:val="both"/>
      </w:pPr>
      <w:r w:rsidRPr="00785145">
        <w:t>Each Member shall inform the Secretariat of the result of its best effort and transparent identification of IP that it believes is infringed by a T</w:t>
      </w:r>
      <w:r>
        <w:t xml:space="preserve">echnical </w:t>
      </w:r>
      <w:r w:rsidRPr="00785145">
        <w:t>S</w:t>
      </w:r>
      <w:r>
        <w:t>pecification</w:t>
      </w:r>
      <w:r w:rsidRPr="00785145">
        <w:t xml:space="preserve"> that is being or has already been developed</w:t>
      </w:r>
      <w:r>
        <w:t>.</w:t>
      </w:r>
    </w:p>
    <w:p w14:paraId="3B8D83CE" w14:textId="77777777" w:rsidR="008A0E4F" w:rsidRPr="008A0E4F" w:rsidRDefault="008A0E4F" w:rsidP="008A0E4F">
      <w:pPr>
        <w:pStyle w:val="ListParagraph"/>
        <w:numPr>
          <w:ilvl w:val="0"/>
          <w:numId w:val="33"/>
        </w:numPr>
        <w:ind w:left="360"/>
        <w:jc w:val="both"/>
        <w:rPr>
          <w:lang w:val="en-US"/>
        </w:rPr>
      </w:pPr>
      <w:r w:rsidRPr="008A0E4F">
        <w:rPr>
          <w:lang w:val="en-US"/>
        </w:rPr>
        <w:t xml:space="preserve">Non-Members are obligated to acquire </w:t>
      </w:r>
      <w:proofErr w:type="spellStart"/>
      <w:r w:rsidRPr="008A0E4F">
        <w:rPr>
          <w:lang w:val="en-US"/>
        </w:rPr>
        <w:t>Licences</w:t>
      </w:r>
      <w:proofErr w:type="spellEnd"/>
      <w:r w:rsidRPr="008A0E4F">
        <w:rPr>
          <w:lang w:val="en-US"/>
        </w:rPr>
        <w:t xml:space="preserve"> to use MPAI standards as mandated by the legislations of the territories in which they use the MPAI standards.</w:t>
      </w:r>
    </w:p>
    <w:p w14:paraId="5DAD5D8C" w14:textId="49B2A476" w:rsidR="008A0E4F" w:rsidRDefault="008A0E4F" w:rsidP="008A0E4F">
      <w:pPr>
        <w:pStyle w:val="ListParagraph"/>
        <w:numPr>
          <w:ilvl w:val="0"/>
          <w:numId w:val="33"/>
        </w:numPr>
        <w:ind w:left="360"/>
        <w:jc w:val="both"/>
        <w:rPr>
          <w:lang w:val="en-US"/>
        </w:rPr>
      </w:pPr>
      <w:r w:rsidRPr="008A0E4F">
        <w:rPr>
          <w:lang w:val="en-US"/>
        </w:rPr>
        <w:t xml:space="preserve">By submitting a document to MPAI, a </w:t>
      </w:r>
      <w:proofErr w:type="gramStart"/>
      <w:r w:rsidRPr="008A0E4F">
        <w:rPr>
          <w:lang w:val="en-US"/>
        </w:rPr>
        <w:t>Member</w:t>
      </w:r>
      <w:proofErr w:type="gramEnd"/>
      <w:r w:rsidRPr="008A0E4F">
        <w:rPr>
          <w:lang w:val="en-US"/>
        </w:rPr>
        <w:t xml:space="preserve"> allows use of the </w:t>
      </w:r>
      <w:r w:rsidR="005C7BF9">
        <w:rPr>
          <w:lang w:val="en-US"/>
        </w:rPr>
        <w:t>t</w:t>
      </w:r>
      <w:r w:rsidRPr="008A0E4F">
        <w:rPr>
          <w:lang w:val="en-US"/>
        </w:rPr>
        <w:t>ext submitted and its derivatives, for any purpose related to the T</w:t>
      </w:r>
      <w:r w:rsidR="004D0B81">
        <w:rPr>
          <w:lang w:val="en-US"/>
        </w:rPr>
        <w:t xml:space="preserve">echnical </w:t>
      </w:r>
      <w:r w:rsidRPr="008A0E4F">
        <w:rPr>
          <w:lang w:val="en-US"/>
        </w:rPr>
        <w:t>S</w:t>
      </w:r>
      <w:r w:rsidR="004D0B81">
        <w:rPr>
          <w:lang w:val="en-US"/>
        </w:rPr>
        <w:t>pecification</w:t>
      </w:r>
      <w:r w:rsidRPr="008A0E4F">
        <w:rPr>
          <w:lang w:val="en-US"/>
        </w:rPr>
        <w:t xml:space="preserve">, such as requirements, the text of the </w:t>
      </w:r>
      <w:r w:rsidR="004D0B81" w:rsidRPr="008A0E4F">
        <w:rPr>
          <w:lang w:val="en-US"/>
        </w:rPr>
        <w:t>T</w:t>
      </w:r>
      <w:r w:rsidR="004D0B81">
        <w:rPr>
          <w:lang w:val="en-US"/>
        </w:rPr>
        <w:t xml:space="preserve">echnical </w:t>
      </w:r>
      <w:r w:rsidR="004D0B81" w:rsidRPr="008A0E4F">
        <w:rPr>
          <w:lang w:val="en-US"/>
        </w:rPr>
        <w:t>S</w:t>
      </w:r>
      <w:r w:rsidR="004D0B81">
        <w:rPr>
          <w:lang w:val="en-US"/>
        </w:rPr>
        <w:t>pecification</w:t>
      </w:r>
      <w:r w:rsidR="004D0B81" w:rsidRPr="008A0E4F">
        <w:rPr>
          <w:lang w:val="en-US"/>
        </w:rPr>
        <w:t xml:space="preserve"> </w:t>
      </w:r>
      <w:r w:rsidRPr="008A0E4F">
        <w:rPr>
          <w:lang w:val="en-US"/>
        </w:rPr>
        <w:t xml:space="preserve">in all its versions and any other MPAI </w:t>
      </w:r>
      <w:r w:rsidR="004D0B81" w:rsidRPr="008A0E4F">
        <w:rPr>
          <w:lang w:val="en-US"/>
        </w:rPr>
        <w:t>T</w:t>
      </w:r>
      <w:r w:rsidR="004D0B81">
        <w:rPr>
          <w:lang w:val="en-US"/>
        </w:rPr>
        <w:t xml:space="preserve">echnical </w:t>
      </w:r>
      <w:r w:rsidR="004D0B81" w:rsidRPr="008A0E4F">
        <w:rPr>
          <w:lang w:val="en-US"/>
        </w:rPr>
        <w:t>S</w:t>
      </w:r>
      <w:r w:rsidR="004D0B81">
        <w:rPr>
          <w:lang w:val="en-US"/>
        </w:rPr>
        <w:t>pecification</w:t>
      </w:r>
      <w:r w:rsidR="001628EB">
        <w:rPr>
          <w:lang w:val="en-US"/>
        </w:rPr>
        <w:t xml:space="preserve">. </w:t>
      </w:r>
    </w:p>
    <w:p w14:paraId="1E602BBF" w14:textId="397F4CBA" w:rsidR="004D0B81" w:rsidRDefault="004D0B81" w:rsidP="008A0E4F">
      <w:pPr>
        <w:pStyle w:val="ListParagraph"/>
        <w:numPr>
          <w:ilvl w:val="0"/>
          <w:numId w:val="33"/>
        </w:numPr>
        <w:ind w:left="360"/>
        <w:jc w:val="both"/>
        <w:rPr>
          <w:lang w:val="en-US"/>
        </w:rPr>
      </w:pPr>
      <w:r w:rsidRPr="004D0B81">
        <w:rPr>
          <w:lang w:val="en-US"/>
        </w:rPr>
        <w:t xml:space="preserve">During the development of the </w:t>
      </w:r>
      <w:r w:rsidRPr="008A0E4F">
        <w:rPr>
          <w:lang w:val="en-US"/>
        </w:rPr>
        <w:t>T</w:t>
      </w:r>
      <w:r>
        <w:rPr>
          <w:lang w:val="en-US"/>
        </w:rPr>
        <w:t xml:space="preserve">echnical </w:t>
      </w:r>
      <w:r w:rsidRPr="008A0E4F">
        <w:rPr>
          <w:lang w:val="en-US"/>
        </w:rPr>
        <w:t>S</w:t>
      </w:r>
      <w:r>
        <w:rPr>
          <w:lang w:val="en-US"/>
        </w:rPr>
        <w:t>pecification</w:t>
      </w:r>
      <w:r w:rsidRPr="004D0B81">
        <w:rPr>
          <w:lang w:val="en-US"/>
        </w:rPr>
        <w:t xml:space="preserve">, </w:t>
      </w:r>
      <w:r w:rsidRPr="00864666">
        <w:rPr>
          <w:lang w:val="en-US"/>
        </w:rPr>
        <w:t>additional</w:t>
      </w:r>
      <w:r w:rsidRPr="004D0B81">
        <w:rPr>
          <w:lang w:val="en-US"/>
        </w:rPr>
        <w:t xml:space="preserve"> requirements related to the TS</w:t>
      </w:r>
      <w:r>
        <w:rPr>
          <w:lang w:val="en-US"/>
        </w:rPr>
        <w:t xml:space="preserve"> may be developed</w:t>
      </w:r>
      <w:r w:rsidRPr="004D0B81">
        <w:rPr>
          <w:lang w:val="en-US"/>
        </w:rPr>
        <w:t xml:space="preserve">. These will be communicated to </w:t>
      </w:r>
      <w:r>
        <w:rPr>
          <w:lang w:val="en-US"/>
        </w:rPr>
        <w:t xml:space="preserve">the </w:t>
      </w:r>
      <w:r w:rsidRPr="004D0B81">
        <w:rPr>
          <w:lang w:val="en-US"/>
        </w:rPr>
        <w:t>G</w:t>
      </w:r>
      <w:r>
        <w:rPr>
          <w:lang w:val="en-US"/>
        </w:rPr>
        <w:t xml:space="preserve">eneral </w:t>
      </w:r>
      <w:r w:rsidRPr="004D0B81">
        <w:rPr>
          <w:lang w:val="en-US"/>
        </w:rPr>
        <w:t>A</w:t>
      </w:r>
      <w:r>
        <w:rPr>
          <w:lang w:val="en-US"/>
        </w:rPr>
        <w:t>ssembly</w:t>
      </w:r>
      <w:r w:rsidRPr="004D0B81">
        <w:rPr>
          <w:lang w:val="en-US"/>
        </w:rPr>
        <w:t xml:space="preserve"> who will decide by 2/3 majority vote of the Principal Members Present whether the additional requirements demand a new </w:t>
      </w:r>
      <w:proofErr w:type="gramStart"/>
      <w:r w:rsidRPr="004D0B81">
        <w:rPr>
          <w:lang w:val="en-US"/>
        </w:rPr>
        <w:t>FWL</w:t>
      </w:r>
      <w:proofErr w:type="gramEnd"/>
      <w:r w:rsidRPr="004D0B81">
        <w:rPr>
          <w:lang w:val="en-US"/>
        </w:rPr>
        <w:t xml:space="preserve"> or the new C</w:t>
      </w:r>
      <w:r>
        <w:rPr>
          <w:lang w:val="en-US"/>
        </w:rPr>
        <w:t xml:space="preserve">all </w:t>
      </w:r>
      <w:r w:rsidRPr="004D0B81">
        <w:rPr>
          <w:lang w:val="en-US"/>
        </w:rPr>
        <w:t>f</w:t>
      </w:r>
      <w:r>
        <w:rPr>
          <w:lang w:val="en-US"/>
        </w:rPr>
        <w:t xml:space="preserve">or </w:t>
      </w:r>
      <w:r w:rsidRPr="004D0B81">
        <w:rPr>
          <w:lang w:val="en-US"/>
        </w:rPr>
        <w:t>T</w:t>
      </w:r>
      <w:r>
        <w:rPr>
          <w:lang w:val="en-US"/>
        </w:rPr>
        <w:t>echnology</w:t>
      </w:r>
      <w:r w:rsidRPr="004D0B81">
        <w:rPr>
          <w:lang w:val="en-US"/>
        </w:rPr>
        <w:t xml:space="preserve"> can be issued with reference to the original FWL. The new C</w:t>
      </w:r>
      <w:r>
        <w:rPr>
          <w:lang w:val="en-US"/>
        </w:rPr>
        <w:t xml:space="preserve">all </w:t>
      </w:r>
      <w:r w:rsidRPr="004D0B81">
        <w:rPr>
          <w:lang w:val="en-US"/>
        </w:rPr>
        <w:t>f</w:t>
      </w:r>
      <w:r>
        <w:rPr>
          <w:lang w:val="en-US"/>
        </w:rPr>
        <w:t xml:space="preserve">or </w:t>
      </w:r>
      <w:r w:rsidRPr="004D0B81">
        <w:rPr>
          <w:lang w:val="en-US"/>
        </w:rPr>
        <w:t>T</w:t>
      </w:r>
      <w:r>
        <w:rPr>
          <w:lang w:val="en-US"/>
        </w:rPr>
        <w:t>echnology</w:t>
      </w:r>
      <w:r w:rsidRPr="004D0B81">
        <w:rPr>
          <w:lang w:val="en-US"/>
        </w:rPr>
        <w:t xml:space="preserve"> may be made open to MPAI Members only.</w:t>
      </w:r>
    </w:p>
    <w:p w14:paraId="0BCABDBB" w14:textId="361F3AAA" w:rsidR="006415A0" w:rsidRPr="006415A0" w:rsidRDefault="006415A0" w:rsidP="00C052B6">
      <w:pPr>
        <w:pStyle w:val="ListParagraph"/>
        <w:numPr>
          <w:ilvl w:val="0"/>
          <w:numId w:val="33"/>
        </w:numPr>
        <w:ind w:left="360"/>
        <w:jc w:val="both"/>
        <w:rPr>
          <w:lang w:val="en-US"/>
        </w:rPr>
      </w:pPr>
      <w:r w:rsidRPr="006415A0">
        <w:rPr>
          <w:lang w:val="en-US"/>
        </w:rPr>
        <w:t>When a draft has achieved sufficient maturity and is supported by the consensus of members involved in the development, it is approved by the General Assembly. The Secretariat issues a Call for Patent declarations to Members. Those Members who believe they hold SEP reading on the T</w:t>
      </w:r>
      <w:r>
        <w:rPr>
          <w:lang w:val="en-US"/>
        </w:rPr>
        <w:t xml:space="preserve">echnical </w:t>
      </w:r>
      <w:r w:rsidRPr="006415A0">
        <w:rPr>
          <w:lang w:val="en-US"/>
        </w:rPr>
        <w:t>S</w:t>
      </w:r>
      <w:r>
        <w:rPr>
          <w:lang w:val="en-US"/>
        </w:rPr>
        <w:t>pecification</w:t>
      </w:r>
      <w:r w:rsidRPr="006415A0">
        <w:rPr>
          <w:lang w:val="en-US"/>
        </w:rPr>
        <w:t xml:space="preserve"> should inform the Secretariat using a form derived from the text used in the relevant C</w:t>
      </w:r>
      <w:r>
        <w:rPr>
          <w:lang w:val="en-US"/>
        </w:rPr>
        <w:t xml:space="preserve">all </w:t>
      </w:r>
      <w:r w:rsidRPr="006415A0">
        <w:rPr>
          <w:lang w:val="en-US"/>
        </w:rPr>
        <w:t>f</w:t>
      </w:r>
      <w:r>
        <w:rPr>
          <w:lang w:val="en-US"/>
        </w:rPr>
        <w:t xml:space="preserve">or </w:t>
      </w:r>
      <w:r w:rsidRPr="006415A0">
        <w:rPr>
          <w:lang w:val="en-US"/>
        </w:rPr>
        <w:t>T</w:t>
      </w:r>
      <w:r>
        <w:rPr>
          <w:lang w:val="en-US"/>
        </w:rPr>
        <w:t>echnologies</w:t>
      </w:r>
      <w:r w:rsidRPr="006415A0">
        <w:rPr>
          <w:lang w:val="en-US"/>
        </w:rPr>
        <w:t>.</w:t>
      </w:r>
    </w:p>
    <w:p w14:paraId="63AF55A2" w14:textId="5D48AFD8" w:rsidR="006415A0" w:rsidRDefault="0079080A" w:rsidP="00E8310C">
      <w:pPr>
        <w:pStyle w:val="ListParagraph"/>
        <w:numPr>
          <w:ilvl w:val="0"/>
          <w:numId w:val="33"/>
        </w:numPr>
        <w:ind w:left="360"/>
        <w:jc w:val="both"/>
        <w:rPr>
          <w:lang w:val="en-US"/>
        </w:rPr>
      </w:pPr>
      <w:r w:rsidRPr="0079080A">
        <w:rPr>
          <w:lang w:val="en-US"/>
        </w:rPr>
        <w:lastRenderedPageBreak/>
        <w:t xml:space="preserve">The </w:t>
      </w:r>
      <w:r w:rsidR="006415A0" w:rsidRPr="0079080A">
        <w:rPr>
          <w:lang w:val="en-US"/>
        </w:rPr>
        <w:t>IPR</w:t>
      </w:r>
      <w:r w:rsidRPr="0079080A">
        <w:rPr>
          <w:lang w:val="en-US"/>
        </w:rPr>
        <w:t xml:space="preserve"> </w:t>
      </w:r>
      <w:r w:rsidR="006415A0" w:rsidRPr="0079080A">
        <w:rPr>
          <w:lang w:val="en-US"/>
        </w:rPr>
        <w:t>S</w:t>
      </w:r>
      <w:r w:rsidRPr="0079080A">
        <w:rPr>
          <w:lang w:val="en-US"/>
        </w:rPr>
        <w:t xml:space="preserve">upport </w:t>
      </w:r>
      <w:r w:rsidR="006415A0" w:rsidRPr="0079080A">
        <w:rPr>
          <w:lang w:val="en-US"/>
        </w:rPr>
        <w:t>A</w:t>
      </w:r>
      <w:r w:rsidRPr="0079080A">
        <w:rPr>
          <w:lang w:val="en-US"/>
        </w:rPr>
        <w:t xml:space="preserve">dvisory </w:t>
      </w:r>
      <w:r w:rsidR="006415A0" w:rsidRPr="0079080A">
        <w:rPr>
          <w:lang w:val="en-US"/>
        </w:rPr>
        <w:t>C</w:t>
      </w:r>
      <w:r w:rsidRPr="0079080A">
        <w:rPr>
          <w:lang w:val="en-US"/>
        </w:rPr>
        <w:t>ommittee</w:t>
      </w:r>
      <w:r w:rsidR="006415A0" w:rsidRPr="0079080A">
        <w:rPr>
          <w:lang w:val="en-US"/>
        </w:rPr>
        <w:t xml:space="preserve"> form</w:t>
      </w:r>
      <w:r w:rsidR="005D10B6">
        <w:rPr>
          <w:lang w:val="en-US"/>
        </w:rPr>
        <w:t>s</w:t>
      </w:r>
      <w:r w:rsidR="006415A0" w:rsidRPr="0079080A">
        <w:rPr>
          <w:lang w:val="en-US"/>
        </w:rPr>
        <w:t xml:space="preserve"> a group composed of representatives of Members who have responded to the </w:t>
      </w:r>
      <w:r w:rsidRPr="0079080A">
        <w:rPr>
          <w:lang w:val="en-US"/>
        </w:rPr>
        <w:t>Call for Patent declarations</w:t>
      </w:r>
      <w:r w:rsidR="006415A0" w:rsidRPr="0079080A">
        <w:rPr>
          <w:lang w:val="en-US"/>
        </w:rPr>
        <w:t xml:space="preserve">. The Members of the group should express their preference, with a 2/3 qualified majority, of the entity that should administer the patent pool of holders of Patents Essential to the TS </w:t>
      </w:r>
      <w:r w:rsidR="00CD66D3" w:rsidRPr="0079080A">
        <w:rPr>
          <w:lang w:val="en-US"/>
        </w:rPr>
        <w:t>considering</w:t>
      </w:r>
      <w:r w:rsidR="006415A0" w:rsidRPr="0079080A">
        <w:rPr>
          <w:lang w:val="en-US"/>
        </w:rPr>
        <w:t xml:space="preserve"> the technical skills of the entity to be selected.</w:t>
      </w:r>
    </w:p>
    <w:p w14:paraId="488EE66E" w14:textId="0FA8474D" w:rsidR="007A114A" w:rsidRPr="00BB3068" w:rsidRDefault="00BB3068" w:rsidP="00BB3068">
      <w:pPr>
        <w:pStyle w:val="ListParagraph"/>
        <w:numPr>
          <w:ilvl w:val="0"/>
          <w:numId w:val="33"/>
        </w:numPr>
        <w:ind w:left="360"/>
        <w:jc w:val="both"/>
        <w:rPr>
          <w:lang w:val="en-US"/>
        </w:rPr>
      </w:pPr>
      <w:r w:rsidRPr="00BB3068">
        <w:rPr>
          <w:lang w:val="en-US"/>
        </w:rPr>
        <w:t xml:space="preserve">Only Licensees of the Essential Patents used in a product or service to which the </w:t>
      </w:r>
      <w:r w:rsidR="00460053">
        <w:rPr>
          <w:lang w:val="en-US"/>
        </w:rPr>
        <w:t xml:space="preserve">MPAI </w:t>
      </w:r>
      <w:r w:rsidRPr="00BB3068">
        <w:rPr>
          <w:lang w:val="en-US"/>
        </w:rPr>
        <w:t>Name and/or the Logo apply are entitled to use the MPAI Name and/or the MPAI Logo.</w:t>
      </w:r>
    </w:p>
    <w:sectPr w:rsidR="007A114A" w:rsidRPr="00BB3068"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D3B"/>
    <w:multiLevelType w:val="hybridMultilevel"/>
    <w:tmpl w:val="55A632C4"/>
    <w:lvl w:ilvl="0" w:tplc="0809000F">
      <w:start w:val="1"/>
      <w:numFmt w:val="decimal"/>
      <w:lvlText w:val="%1."/>
      <w:lvlJc w:val="left"/>
      <w:pPr>
        <w:ind w:left="612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01F90"/>
    <w:multiLevelType w:val="hybridMultilevel"/>
    <w:tmpl w:val="F0E8A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3"/>
  </w:num>
  <w:num w:numId="3">
    <w:abstractNumId w:val="25"/>
  </w:num>
  <w:num w:numId="4">
    <w:abstractNumId w:val="9"/>
  </w:num>
  <w:num w:numId="5">
    <w:abstractNumId w:val="20"/>
  </w:num>
  <w:num w:numId="6">
    <w:abstractNumId w:val="32"/>
  </w:num>
  <w:num w:numId="7">
    <w:abstractNumId w:val="22"/>
  </w:num>
  <w:num w:numId="8">
    <w:abstractNumId w:val="4"/>
  </w:num>
  <w:num w:numId="9">
    <w:abstractNumId w:val="6"/>
  </w:num>
  <w:num w:numId="10">
    <w:abstractNumId w:val="13"/>
  </w:num>
  <w:num w:numId="11">
    <w:abstractNumId w:val="23"/>
  </w:num>
  <w:num w:numId="12">
    <w:abstractNumId w:val="15"/>
  </w:num>
  <w:num w:numId="13">
    <w:abstractNumId w:val="0"/>
  </w:num>
  <w:num w:numId="14">
    <w:abstractNumId w:val="11"/>
  </w:num>
  <w:num w:numId="15">
    <w:abstractNumId w:val="29"/>
  </w:num>
  <w:num w:numId="16">
    <w:abstractNumId w:val="14"/>
  </w:num>
  <w:num w:numId="17">
    <w:abstractNumId w:val="10"/>
  </w:num>
  <w:num w:numId="18">
    <w:abstractNumId w:val="7"/>
  </w:num>
  <w:num w:numId="19">
    <w:abstractNumId w:val="5"/>
  </w:num>
  <w:num w:numId="20">
    <w:abstractNumId w:val="12"/>
  </w:num>
  <w:num w:numId="21">
    <w:abstractNumId w:val="19"/>
  </w:num>
  <w:num w:numId="22">
    <w:abstractNumId w:val="26"/>
  </w:num>
  <w:num w:numId="23">
    <w:abstractNumId w:val="17"/>
  </w:num>
  <w:num w:numId="24">
    <w:abstractNumId w:val="24"/>
  </w:num>
  <w:num w:numId="25">
    <w:abstractNumId w:val="27"/>
  </w:num>
  <w:num w:numId="26">
    <w:abstractNumId w:val="2"/>
  </w:num>
  <w:num w:numId="27">
    <w:abstractNumId w:val="18"/>
  </w:num>
  <w:num w:numId="28">
    <w:abstractNumId w:val="28"/>
  </w:num>
  <w:num w:numId="29">
    <w:abstractNumId w:val="21"/>
  </w:num>
  <w:num w:numId="30">
    <w:abstractNumId w:val="8"/>
  </w:num>
  <w:num w:numId="31">
    <w:abstractNumId w:val="31"/>
  </w:num>
  <w:num w:numId="32">
    <w:abstractNumId w:val="33"/>
  </w:num>
  <w:num w:numId="33">
    <w:abstractNumId w:val="1"/>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D5"/>
    <w:rsid w:val="00002217"/>
    <w:rsid w:val="0001512E"/>
    <w:rsid w:val="00020C69"/>
    <w:rsid w:val="0002499C"/>
    <w:rsid w:val="00030AD0"/>
    <w:rsid w:val="00032A0E"/>
    <w:rsid w:val="000360D3"/>
    <w:rsid w:val="000434F5"/>
    <w:rsid w:val="00045D8C"/>
    <w:rsid w:val="00057C1A"/>
    <w:rsid w:val="00057DA2"/>
    <w:rsid w:val="0006001F"/>
    <w:rsid w:val="00064720"/>
    <w:rsid w:val="000778F8"/>
    <w:rsid w:val="00080DAC"/>
    <w:rsid w:val="00093F5A"/>
    <w:rsid w:val="000A0992"/>
    <w:rsid w:val="000C5808"/>
    <w:rsid w:val="000D430D"/>
    <w:rsid w:val="000D58DC"/>
    <w:rsid w:val="000D6B4A"/>
    <w:rsid w:val="000E5440"/>
    <w:rsid w:val="000E6185"/>
    <w:rsid w:val="000E6AA6"/>
    <w:rsid w:val="00104DD9"/>
    <w:rsid w:val="00124211"/>
    <w:rsid w:val="00125F4E"/>
    <w:rsid w:val="001279D1"/>
    <w:rsid w:val="001302B6"/>
    <w:rsid w:val="0013302C"/>
    <w:rsid w:val="001347D5"/>
    <w:rsid w:val="00146509"/>
    <w:rsid w:val="00150931"/>
    <w:rsid w:val="001578BD"/>
    <w:rsid w:val="001628EB"/>
    <w:rsid w:val="001676B9"/>
    <w:rsid w:val="00170C4B"/>
    <w:rsid w:val="00171211"/>
    <w:rsid w:val="0017476B"/>
    <w:rsid w:val="0017517A"/>
    <w:rsid w:val="00184896"/>
    <w:rsid w:val="001920B7"/>
    <w:rsid w:val="001A13E2"/>
    <w:rsid w:val="001A60D5"/>
    <w:rsid w:val="001A77B5"/>
    <w:rsid w:val="001C122D"/>
    <w:rsid w:val="001C2B74"/>
    <w:rsid w:val="001C4CCD"/>
    <w:rsid w:val="001D56A9"/>
    <w:rsid w:val="001E3902"/>
    <w:rsid w:val="001E4B8A"/>
    <w:rsid w:val="001E6EEC"/>
    <w:rsid w:val="001F3C5D"/>
    <w:rsid w:val="00221F51"/>
    <w:rsid w:val="00245B0F"/>
    <w:rsid w:val="002472FE"/>
    <w:rsid w:val="002672DB"/>
    <w:rsid w:val="00272D6B"/>
    <w:rsid w:val="002739A4"/>
    <w:rsid w:val="00276B57"/>
    <w:rsid w:val="002869A6"/>
    <w:rsid w:val="00286C15"/>
    <w:rsid w:val="0028710D"/>
    <w:rsid w:val="002A55B1"/>
    <w:rsid w:val="002A61FA"/>
    <w:rsid w:val="002A6BFB"/>
    <w:rsid w:val="002A7217"/>
    <w:rsid w:val="002A7D4F"/>
    <w:rsid w:val="002B2FD2"/>
    <w:rsid w:val="002C7F0F"/>
    <w:rsid w:val="002D3F65"/>
    <w:rsid w:val="002D5BA5"/>
    <w:rsid w:val="002D7993"/>
    <w:rsid w:val="002E02B6"/>
    <w:rsid w:val="0030141C"/>
    <w:rsid w:val="0030631B"/>
    <w:rsid w:val="00317A4B"/>
    <w:rsid w:val="0033190F"/>
    <w:rsid w:val="003573DE"/>
    <w:rsid w:val="0036358B"/>
    <w:rsid w:val="0036721F"/>
    <w:rsid w:val="00373451"/>
    <w:rsid w:val="00385EA4"/>
    <w:rsid w:val="00391E9B"/>
    <w:rsid w:val="00396830"/>
    <w:rsid w:val="003976B4"/>
    <w:rsid w:val="00397D0B"/>
    <w:rsid w:val="003A3207"/>
    <w:rsid w:val="003C0AEC"/>
    <w:rsid w:val="003C2BAB"/>
    <w:rsid w:val="003C2FC4"/>
    <w:rsid w:val="003C7AB6"/>
    <w:rsid w:val="003D2DDB"/>
    <w:rsid w:val="003D7DC9"/>
    <w:rsid w:val="003E1E52"/>
    <w:rsid w:val="003F6E4A"/>
    <w:rsid w:val="00400239"/>
    <w:rsid w:val="0040045F"/>
    <w:rsid w:val="00406247"/>
    <w:rsid w:val="004070C3"/>
    <w:rsid w:val="0040751A"/>
    <w:rsid w:val="0041116D"/>
    <w:rsid w:val="00422044"/>
    <w:rsid w:val="00425379"/>
    <w:rsid w:val="00426E8E"/>
    <w:rsid w:val="00434ADB"/>
    <w:rsid w:val="004368A8"/>
    <w:rsid w:val="00441368"/>
    <w:rsid w:val="00460053"/>
    <w:rsid w:val="00462D9A"/>
    <w:rsid w:val="0046449E"/>
    <w:rsid w:val="00467971"/>
    <w:rsid w:val="0047210E"/>
    <w:rsid w:val="00474501"/>
    <w:rsid w:val="004A44EF"/>
    <w:rsid w:val="004A5585"/>
    <w:rsid w:val="004D0B81"/>
    <w:rsid w:val="004D2FF8"/>
    <w:rsid w:val="004E0C82"/>
    <w:rsid w:val="004E1E01"/>
    <w:rsid w:val="004E5FB5"/>
    <w:rsid w:val="004F0ACC"/>
    <w:rsid w:val="004F593C"/>
    <w:rsid w:val="005132BF"/>
    <w:rsid w:val="00516F9C"/>
    <w:rsid w:val="0052544E"/>
    <w:rsid w:val="0053556F"/>
    <w:rsid w:val="0054391B"/>
    <w:rsid w:val="0055015D"/>
    <w:rsid w:val="005565BE"/>
    <w:rsid w:val="00557EDB"/>
    <w:rsid w:val="00573821"/>
    <w:rsid w:val="00573E58"/>
    <w:rsid w:val="00574298"/>
    <w:rsid w:val="005769BD"/>
    <w:rsid w:val="00585F50"/>
    <w:rsid w:val="0058734C"/>
    <w:rsid w:val="005A05C0"/>
    <w:rsid w:val="005A1575"/>
    <w:rsid w:val="005A2449"/>
    <w:rsid w:val="005A6746"/>
    <w:rsid w:val="005B0DB3"/>
    <w:rsid w:val="005B7CBC"/>
    <w:rsid w:val="005C42D8"/>
    <w:rsid w:val="005C7BF9"/>
    <w:rsid w:val="005D10B6"/>
    <w:rsid w:val="005D1A6F"/>
    <w:rsid w:val="005D561E"/>
    <w:rsid w:val="005D6FB6"/>
    <w:rsid w:val="005E1400"/>
    <w:rsid w:val="0060019F"/>
    <w:rsid w:val="006057EE"/>
    <w:rsid w:val="006074A9"/>
    <w:rsid w:val="00625A92"/>
    <w:rsid w:val="006321C7"/>
    <w:rsid w:val="006323E5"/>
    <w:rsid w:val="00632565"/>
    <w:rsid w:val="0063664B"/>
    <w:rsid w:val="006415A0"/>
    <w:rsid w:val="00643BD9"/>
    <w:rsid w:val="00650C9A"/>
    <w:rsid w:val="00660793"/>
    <w:rsid w:val="00685762"/>
    <w:rsid w:val="00686EE6"/>
    <w:rsid w:val="006A019E"/>
    <w:rsid w:val="006B2D08"/>
    <w:rsid w:val="006D4315"/>
    <w:rsid w:val="006D5C63"/>
    <w:rsid w:val="006D5D45"/>
    <w:rsid w:val="006E2AB0"/>
    <w:rsid w:val="006E2D0D"/>
    <w:rsid w:val="006E3EF3"/>
    <w:rsid w:val="006E3F61"/>
    <w:rsid w:val="006F0785"/>
    <w:rsid w:val="006F40EB"/>
    <w:rsid w:val="00703138"/>
    <w:rsid w:val="00715DF2"/>
    <w:rsid w:val="007212F6"/>
    <w:rsid w:val="00727E5A"/>
    <w:rsid w:val="007320EA"/>
    <w:rsid w:val="0074220F"/>
    <w:rsid w:val="00750503"/>
    <w:rsid w:val="00770292"/>
    <w:rsid w:val="00771AC8"/>
    <w:rsid w:val="0079080A"/>
    <w:rsid w:val="007A114A"/>
    <w:rsid w:val="007B265B"/>
    <w:rsid w:val="007B7543"/>
    <w:rsid w:val="007C2FE6"/>
    <w:rsid w:val="007D3EBB"/>
    <w:rsid w:val="007E1CAC"/>
    <w:rsid w:val="007E4601"/>
    <w:rsid w:val="007F2E7F"/>
    <w:rsid w:val="007F3FEE"/>
    <w:rsid w:val="007F5148"/>
    <w:rsid w:val="007F6CFB"/>
    <w:rsid w:val="007F7901"/>
    <w:rsid w:val="00805F0B"/>
    <w:rsid w:val="00813221"/>
    <w:rsid w:val="0081555E"/>
    <w:rsid w:val="008177EE"/>
    <w:rsid w:val="00822346"/>
    <w:rsid w:val="008312FD"/>
    <w:rsid w:val="008326A6"/>
    <w:rsid w:val="008362E7"/>
    <w:rsid w:val="0084158B"/>
    <w:rsid w:val="00856680"/>
    <w:rsid w:val="0086455B"/>
    <w:rsid w:val="00864666"/>
    <w:rsid w:val="00865788"/>
    <w:rsid w:val="00875139"/>
    <w:rsid w:val="008757DF"/>
    <w:rsid w:val="00887E3F"/>
    <w:rsid w:val="00892954"/>
    <w:rsid w:val="008A0E4F"/>
    <w:rsid w:val="008B4AA9"/>
    <w:rsid w:val="008B553A"/>
    <w:rsid w:val="008B6F2C"/>
    <w:rsid w:val="008C4C02"/>
    <w:rsid w:val="008C4F77"/>
    <w:rsid w:val="008D63C4"/>
    <w:rsid w:val="008D6636"/>
    <w:rsid w:val="008E2AD5"/>
    <w:rsid w:val="008E3896"/>
    <w:rsid w:val="008E7E59"/>
    <w:rsid w:val="008F3624"/>
    <w:rsid w:val="00902A03"/>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6267E"/>
    <w:rsid w:val="00A72980"/>
    <w:rsid w:val="00A84784"/>
    <w:rsid w:val="00A877C5"/>
    <w:rsid w:val="00A9007A"/>
    <w:rsid w:val="00A948E4"/>
    <w:rsid w:val="00A9659E"/>
    <w:rsid w:val="00A97C60"/>
    <w:rsid w:val="00AA7246"/>
    <w:rsid w:val="00AB0A71"/>
    <w:rsid w:val="00AB2FC7"/>
    <w:rsid w:val="00AC06C4"/>
    <w:rsid w:val="00AC2D30"/>
    <w:rsid w:val="00AD3156"/>
    <w:rsid w:val="00AE175E"/>
    <w:rsid w:val="00AE5BF6"/>
    <w:rsid w:val="00AE7428"/>
    <w:rsid w:val="00B12E14"/>
    <w:rsid w:val="00B13B7C"/>
    <w:rsid w:val="00B21FC6"/>
    <w:rsid w:val="00B22D13"/>
    <w:rsid w:val="00B258CB"/>
    <w:rsid w:val="00B45CC1"/>
    <w:rsid w:val="00B514B8"/>
    <w:rsid w:val="00B51B5E"/>
    <w:rsid w:val="00B62CD2"/>
    <w:rsid w:val="00B6302F"/>
    <w:rsid w:val="00B72387"/>
    <w:rsid w:val="00B81E8E"/>
    <w:rsid w:val="00BB3068"/>
    <w:rsid w:val="00BB45B4"/>
    <w:rsid w:val="00BB53D3"/>
    <w:rsid w:val="00BC6A1B"/>
    <w:rsid w:val="00BD1631"/>
    <w:rsid w:val="00BD4E34"/>
    <w:rsid w:val="00BF1F9F"/>
    <w:rsid w:val="00C00A61"/>
    <w:rsid w:val="00C10A59"/>
    <w:rsid w:val="00C117CF"/>
    <w:rsid w:val="00C36503"/>
    <w:rsid w:val="00C433F5"/>
    <w:rsid w:val="00C530BD"/>
    <w:rsid w:val="00C666E8"/>
    <w:rsid w:val="00C67DDA"/>
    <w:rsid w:val="00C81B9E"/>
    <w:rsid w:val="00C81CC3"/>
    <w:rsid w:val="00C930D9"/>
    <w:rsid w:val="00CA1BC4"/>
    <w:rsid w:val="00CA478B"/>
    <w:rsid w:val="00CA66EB"/>
    <w:rsid w:val="00CC1CE8"/>
    <w:rsid w:val="00CC2EA8"/>
    <w:rsid w:val="00CC2F3F"/>
    <w:rsid w:val="00CC3A91"/>
    <w:rsid w:val="00CC654F"/>
    <w:rsid w:val="00CD22B1"/>
    <w:rsid w:val="00CD2C38"/>
    <w:rsid w:val="00CD658B"/>
    <w:rsid w:val="00CD66D3"/>
    <w:rsid w:val="00CE0548"/>
    <w:rsid w:val="00CE372E"/>
    <w:rsid w:val="00CF3FD2"/>
    <w:rsid w:val="00D15E90"/>
    <w:rsid w:val="00D15EFB"/>
    <w:rsid w:val="00D20036"/>
    <w:rsid w:val="00D22C70"/>
    <w:rsid w:val="00D6054D"/>
    <w:rsid w:val="00D63663"/>
    <w:rsid w:val="00D664D3"/>
    <w:rsid w:val="00D66D9A"/>
    <w:rsid w:val="00D727A9"/>
    <w:rsid w:val="00D74322"/>
    <w:rsid w:val="00D849A0"/>
    <w:rsid w:val="00DA0A51"/>
    <w:rsid w:val="00DB3208"/>
    <w:rsid w:val="00DC7747"/>
    <w:rsid w:val="00DD00EE"/>
    <w:rsid w:val="00DE55A1"/>
    <w:rsid w:val="00DE663F"/>
    <w:rsid w:val="00E06288"/>
    <w:rsid w:val="00E06A4B"/>
    <w:rsid w:val="00E07DA9"/>
    <w:rsid w:val="00E24F7E"/>
    <w:rsid w:val="00E4182D"/>
    <w:rsid w:val="00E44084"/>
    <w:rsid w:val="00E52108"/>
    <w:rsid w:val="00E543EF"/>
    <w:rsid w:val="00E547DE"/>
    <w:rsid w:val="00E80587"/>
    <w:rsid w:val="00E82434"/>
    <w:rsid w:val="00E90211"/>
    <w:rsid w:val="00E92D8D"/>
    <w:rsid w:val="00EA05B9"/>
    <w:rsid w:val="00EA083B"/>
    <w:rsid w:val="00EA5591"/>
    <w:rsid w:val="00EB0B3C"/>
    <w:rsid w:val="00EB3086"/>
    <w:rsid w:val="00EC2424"/>
    <w:rsid w:val="00EE7A50"/>
    <w:rsid w:val="00EF0CB1"/>
    <w:rsid w:val="00EF2BBA"/>
    <w:rsid w:val="00EF52DE"/>
    <w:rsid w:val="00EF5675"/>
    <w:rsid w:val="00F00D66"/>
    <w:rsid w:val="00F017EB"/>
    <w:rsid w:val="00F06FB8"/>
    <w:rsid w:val="00F22337"/>
    <w:rsid w:val="00F228A4"/>
    <w:rsid w:val="00F25D23"/>
    <w:rsid w:val="00F33B32"/>
    <w:rsid w:val="00F349D0"/>
    <w:rsid w:val="00F37B74"/>
    <w:rsid w:val="00F44EB3"/>
    <w:rsid w:val="00F523A1"/>
    <w:rsid w:val="00F566DF"/>
    <w:rsid w:val="00F601D2"/>
    <w:rsid w:val="00F6422A"/>
    <w:rsid w:val="00F67C2C"/>
    <w:rsid w:val="00F7024F"/>
    <w:rsid w:val="00F80E92"/>
    <w:rsid w:val="00F82DD1"/>
    <w:rsid w:val="00F846A3"/>
    <w:rsid w:val="00F92976"/>
    <w:rsid w:val="00F94851"/>
    <w:rsid w:val="00FA2BA0"/>
    <w:rsid w:val="00FA75D5"/>
    <w:rsid w:val="00FC4763"/>
    <w:rsid w:val="00FF176A"/>
    <w:rsid w:val="00FF1D8A"/>
    <w:rsid w:val="00FF52C2"/>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B98390"/>
  <w15:chartTrackingRefBased/>
  <w15:docId w15:val="{2ED4C922-A3B1-4337-A684-78929E8D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1</TotalTime>
  <Pages>3</Pages>
  <Words>1102</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2022-02-20T14:15:00Z</dcterms:created>
  <dcterms:modified xsi:type="dcterms:W3CDTF">2022-02-22T13:29:00Z</dcterms:modified>
</cp:coreProperties>
</file>