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ayout w:type="fixed"/>
        <w:tblLook w:val="04A0" w:firstRow="1" w:lastRow="0" w:firstColumn="1" w:lastColumn="0" w:noHBand="0" w:noVBand="1"/>
      </w:tblPr>
      <w:tblGrid>
        <w:gridCol w:w="3358"/>
        <w:gridCol w:w="5997"/>
      </w:tblGrid>
      <w:tr w:rsidR="00257EF0" w14:paraId="387C9045" w14:textId="77777777">
        <w:tc>
          <w:tcPr>
            <w:tcW w:w="3358" w:type="dxa"/>
            <w:tcBorders>
              <w:top w:val="nil"/>
              <w:left w:val="nil"/>
              <w:bottom w:val="nil"/>
              <w:right w:val="nil"/>
            </w:tcBorders>
          </w:tcPr>
          <w:p w14:paraId="387C9041" w14:textId="77777777" w:rsidR="00257EF0" w:rsidRDefault="0038328D">
            <w:r>
              <w:pict w14:anchorId="387C9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margin-left:0;margin-top:0;width:50pt;height:50pt;z-index:251657728;visibility:hidden">
                  <o:lock v:ext="edit" selection="t"/>
                </v:shape>
              </w:pict>
            </w:r>
            <w:r w:rsidR="001F3B20">
              <w:object w:dxaOrig="11940" w:dyaOrig="4680" w14:anchorId="387C90AF">
                <v:shape id="ole_rId2" o:spid="_x0000_i1025" type="#_x0000_t75" style="width:150pt;height:58.6pt;visibility:visible;mso-wrap-distance-right:0" o:ole="">
                  <v:imagedata r:id="rId6" o:title=""/>
                </v:shape>
                <o:OLEObject Type="Embed" ProgID="PBrush" ShapeID="ole_rId2" DrawAspect="Content" ObjectID="_1714406171" r:id="rId7"/>
              </w:object>
            </w:r>
          </w:p>
        </w:tc>
        <w:tc>
          <w:tcPr>
            <w:tcW w:w="5996" w:type="dxa"/>
            <w:tcBorders>
              <w:top w:val="nil"/>
              <w:left w:val="nil"/>
              <w:bottom w:val="nil"/>
              <w:right w:val="nil"/>
            </w:tcBorders>
            <w:vAlign w:val="center"/>
          </w:tcPr>
          <w:p w14:paraId="387C9042" w14:textId="77777777" w:rsidR="00257EF0" w:rsidRDefault="001F3B20">
            <w:pPr>
              <w:jc w:val="center"/>
              <w:rPr>
                <w:sz w:val="32"/>
                <w:szCs w:val="32"/>
              </w:rPr>
            </w:pPr>
            <w:r>
              <w:rPr>
                <w:sz w:val="32"/>
                <w:szCs w:val="32"/>
              </w:rPr>
              <w:t xml:space="preserve">Moving Picture, Audio and Data Coding </w:t>
            </w:r>
          </w:p>
          <w:p w14:paraId="387C9043" w14:textId="77777777" w:rsidR="00257EF0" w:rsidRDefault="001F3B20">
            <w:pPr>
              <w:jc w:val="center"/>
              <w:rPr>
                <w:sz w:val="32"/>
                <w:szCs w:val="32"/>
              </w:rPr>
            </w:pPr>
            <w:r>
              <w:rPr>
                <w:sz w:val="32"/>
                <w:szCs w:val="32"/>
              </w:rPr>
              <w:t>by Artificial Intelligence</w:t>
            </w:r>
          </w:p>
          <w:p w14:paraId="387C9044" w14:textId="77777777" w:rsidR="00257EF0" w:rsidRDefault="001F3B20">
            <w:pPr>
              <w:jc w:val="center"/>
              <w:rPr>
                <w:sz w:val="32"/>
                <w:szCs w:val="32"/>
              </w:rPr>
            </w:pPr>
            <w:r>
              <w:rPr>
                <w:sz w:val="32"/>
                <w:szCs w:val="32"/>
              </w:rPr>
              <w:t>www.mpai.community</w:t>
            </w:r>
          </w:p>
        </w:tc>
      </w:tr>
    </w:tbl>
    <w:p w14:paraId="387C9046" w14:textId="77777777" w:rsidR="00257EF0" w:rsidRDefault="00257EF0"/>
    <w:tbl>
      <w:tblPr>
        <w:tblStyle w:val="TableGrid"/>
        <w:tblW w:w="9355" w:type="dxa"/>
        <w:tblLayout w:type="fixed"/>
        <w:tblLook w:val="04A0" w:firstRow="1" w:lastRow="0" w:firstColumn="1" w:lastColumn="0" w:noHBand="0" w:noVBand="1"/>
      </w:tblPr>
      <w:tblGrid>
        <w:gridCol w:w="957"/>
        <w:gridCol w:w="8398"/>
      </w:tblGrid>
      <w:tr w:rsidR="00257EF0" w14:paraId="387C9048" w14:textId="77777777">
        <w:tc>
          <w:tcPr>
            <w:tcW w:w="9354" w:type="dxa"/>
            <w:gridSpan w:val="2"/>
            <w:tcBorders>
              <w:top w:val="nil"/>
              <w:left w:val="nil"/>
              <w:bottom w:val="nil"/>
              <w:right w:val="nil"/>
            </w:tcBorders>
          </w:tcPr>
          <w:p w14:paraId="387C9047" w14:textId="77777777" w:rsidR="00257EF0" w:rsidRDefault="001F3B20">
            <w:pPr>
              <w:jc w:val="center"/>
              <w:rPr>
                <w:sz w:val="32"/>
                <w:szCs w:val="32"/>
              </w:rPr>
            </w:pPr>
            <w:r>
              <w:rPr>
                <w:b/>
                <w:bCs/>
                <w:sz w:val="32"/>
                <w:szCs w:val="32"/>
              </w:rPr>
              <w:t>Public document</w:t>
            </w:r>
          </w:p>
        </w:tc>
      </w:tr>
      <w:tr w:rsidR="00257EF0" w14:paraId="387C904B" w14:textId="77777777">
        <w:tc>
          <w:tcPr>
            <w:tcW w:w="957" w:type="dxa"/>
            <w:tcBorders>
              <w:top w:val="nil"/>
              <w:left w:val="nil"/>
              <w:bottom w:val="nil"/>
              <w:right w:val="nil"/>
            </w:tcBorders>
          </w:tcPr>
          <w:p w14:paraId="387C9049" w14:textId="77777777" w:rsidR="00257EF0" w:rsidRDefault="001F3B20">
            <w:pPr>
              <w:jc w:val="right"/>
              <w:rPr>
                <w:b/>
                <w:bCs/>
              </w:rPr>
            </w:pPr>
            <w:r>
              <w:rPr>
                <w:b/>
                <w:bCs/>
              </w:rPr>
              <w:t>N665</w:t>
            </w:r>
          </w:p>
        </w:tc>
        <w:tc>
          <w:tcPr>
            <w:tcW w:w="8397" w:type="dxa"/>
            <w:tcBorders>
              <w:top w:val="nil"/>
              <w:left w:val="nil"/>
              <w:bottom w:val="nil"/>
              <w:right w:val="nil"/>
            </w:tcBorders>
          </w:tcPr>
          <w:p w14:paraId="387C904A" w14:textId="77777777" w:rsidR="00257EF0" w:rsidRDefault="001F3B20">
            <w:pPr>
              <w:jc w:val="right"/>
            </w:pPr>
            <w:r>
              <w:t>2022/05/18</w:t>
            </w:r>
          </w:p>
        </w:tc>
      </w:tr>
      <w:tr w:rsidR="00257EF0" w14:paraId="387C904E" w14:textId="77777777">
        <w:tc>
          <w:tcPr>
            <w:tcW w:w="957" w:type="dxa"/>
            <w:tcBorders>
              <w:top w:val="nil"/>
              <w:left w:val="nil"/>
              <w:bottom w:val="nil"/>
              <w:right w:val="nil"/>
            </w:tcBorders>
          </w:tcPr>
          <w:p w14:paraId="387C904C" w14:textId="77777777" w:rsidR="00257EF0" w:rsidRDefault="001F3B20">
            <w:pPr>
              <w:rPr>
                <w:b/>
                <w:bCs/>
              </w:rPr>
            </w:pPr>
            <w:r>
              <w:rPr>
                <w:b/>
                <w:bCs/>
              </w:rPr>
              <w:t>Source</w:t>
            </w:r>
          </w:p>
        </w:tc>
        <w:tc>
          <w:tcPr>
            <w:tcW w:w="8397" w:type="dxa"/>
            <w:tcBorders>
              <w:top w:val="nil"/>
              <w:left w:val="nil"/>
              <w:bottom w:val="nil"/>
              <w:right w:val="nil"/>
            </w:tcBorders>
          </w:tcPr>
          <w:p w14:paraId="387C904D" w14:textId="77777777" w:rsidR="00257EF0" w:rsidRDefault="001F3B20">
            <w:r>
              <w:t>20</w:t>
            </w:r>
            <w:r>
              <w:rPr>
                <w:vertAlign w:val="superscript"/>
              </w:rPr>
              <w:t>th</w:t>
            </w:r>
            <w:r>
              <w:t xml:space="preserve"> MPAI General Assembly (MPAI-20)</w:t>
            </w:r>
          </w:p>
        </w:tc>
      </w:tr>
      <w:tr w:rsidR="00257EF0" w14:paraId="387C9051" w14:textId="77777777">
        <w:tc>
          <w:tcPr>
            <w:tcW w:w="957" w:type="dxa"/>
            <w:tcBorders>
              <w:top w:val="nil"/>
              <w:left w:val="nil"/>
              <w:bottom w:val="nil"/>
              <w:right w:val="nil"/>
            </w:tcBorders>
          </w:tcPr>
          <w:p w14:paraId="387C904F" w14:textId="77777777" w:rsidR="00257EF0" w:rsidRDefault="001F3B20">
            <w:pPr>
              <w:rPr>
                <w:b/>
                <w:bCs/>
              </w:rPr>
            </w:pPr>
            <w:r>
              <w:rPr>
                <w:b/>
                <w:bCs/>
              </w:rPr>
              <w:t>Title</w:t>
            </w:r>
          </w:p>
        </w:tc>
        <w:tc>
          <w:tcPr>
            <w:tcW w:w="8397" w:type="dxa"/>
            <w:tcBorders>
              <w:top w:val="nil"/>
              <w:left w:val="nil"/>
              <w:bottom w:val="nil"/>
              <w:right w:val="nil"/>
            </w:tcBorders>
          </w:tcPr>
          <w:p w14:paraId="387C9050" w14:textId="77777777" w:rsidR="00257EF0" w:rsidRDefault="001F3B20">
            <w:r>
              <w:t>MPAI-20 Press Release</w:t>
            </w:r>
          </w:p>
        </w:tc>
      </w:tr>
      <w:tr w:rsidR="00257EF0" w14:paraId="387C9054" w14:textId="77777777">
        <w:tc>
          <w:tcPr>
            <w:tcW w:w="957" w:type="dxa"/>
            <w:tcBorders>
              <w:top w:val="nil"/>
              <w:left w:val="nil"/>
              <w:bottom w:val="nil"/>
              <w:right w:val="nil"/>
            </w:tcBorders>
          </w:tcPr>
          <w:p w14:paraId="387C9052" w14:textId="77777777" w:rsidR="00257EF0" w:rsidRDefault="001F3B20">
            <w:pPr>
              <w:rPr>
                <w:b/>
                <w:bCs/>
              </w:rPr>
            </w:pPr>
            <w:r>
              <w:rPr>
                <w:b/>
                <w:bCs/>
              </w:rPr>
              <w:t>Target</w:t>
            </w:r>
          </w:p>
        </w:tc>
        <w:tc>
          <w:tcPr>
            <w:tcW w:w="8397" w:type="dxa"/>
            <w:tcBorders>
              <w:top w:val="nil"/>
              <w:left w:val="nil"/>
              <w:bottom w:val="nil"/>
              <w:right w:val="nil"/>
            </w:tcBorders>
          </w:tcPr>
          <w:p w14:paraId="387C9053" w14:textId="77777777" w:rsidR="00257EF0" w:rsidRDefault="001F3B20">
            <w:r>
              <w:t>MPAI Members</w:t>
            </w:r>
          </w:p>
        </w:tc>
      </w:tr>
    </w:tbl>
    <w:p w14:paraId="387C9055" w14:textId="77777777" w:rsidR="00257EF0" w:rsidRDefault="00257EF0"/>
    <w:p w14:paraId="387C9056" w14:textId="77777777" w:rsidR="00257EF0" w:rsidRDefault="001F3B20">
      <w:pPr>
        <w:jc w:val="center"/>
        <w:rPr>
          <w:b/>
          <w:bCs/>
          <w:sz w:val="28"/>
          <w:szCs w:val="28"/>
        </w:rPr>
      </w:pPr>
      <w:r>
        <w:rPr>
          <w:b/>
          <w:bCs/>
          <w:sz w:val="28"/>
          <w:szCs w:val="28"/>
        </w:rPr>
        <w:t xml:space="preserve">Patent pool being formed for four MPAI standards  </w:t>
      </w:r>
    </w:p>
    <w:p w14:paraId="387C9057" w14:textId="77777777" w:rsidR="00257EF0" w:rsidRDefault="00257EF0">
      <w:pPr>
        <w:jc w:val="center"/>
        <w:rPr>
          <w:b/>
          <w:bCs/>
          <w:sz w:val="28"/>
          <w:szCs w:val="28"/>
        </w:rPr>
      </w:pPr>
    </w:p>
    <w:p w14:paraId="387C9058" w14:textId="5689F0BD" w:rsidR="00257EF0" w:rsidRDefault="001F3B20">
      <w:pPr>
        <w:jc w:val="both"/>
      </w:pPr>
      <w:r>
        <w:t>Geneva, Switzerland – 18 May 2022. Today the international, non-profit, unaffiliated Moving Picture, Audio and Data Coding by Artificial Intelligence (MPAI) standards developing organisation has concluded its 20</w:t>
      </w:r>
      <w:r>
        <w:rPr>
          <w:vertAlign w:val="superscript"/>
        </w:rPr>
        <w:t>th</w:t>
      </w:r>
      <w:r>
        <w:t xml:space="preserve"> General Assembly. Among the outcomes is the communication that a patent pool will soon be established for four of its standards: AI </w:t>
      </w:r>
      <w:r w:rsidR="00B9160B">
        <w:t>Framework</w:t>
      </w:r>
      <w:r>
        <w:t xml:space="preserve"> (MPAI-AIF), Context-Based Audio Enhancement (MPAI-CAE), Compression and Understanding of Industrial Data (MPAI-CUI) and Multimodal Co</w:t>
      </w:r>
      <w:r w:rsidR="000C10F5">
        <w:t>nversation</w:t>
      </w:r>
      <w:r>
        <w:t xml:space="preserve"> (MPAI-MMC).</w:t>
      </w:r>
    </w:p>
    <w:p w14:paraId="387C9059" w14:textId="77777777" w:rsidR="00257EF0" w:rsidRDefault="00257EF0">
      <w:pPr>
        <w:jc w:val="both"/>
      </w:pPr>
    </w:p>
    <w:p w14:paraId="387C905A" w14:textId="77777777" w:rsidR="00257EF0" w:rsidRDefault="001F3B20">
      <w:pPr>
        <w:jc w:val="both"/>
      </w:pPr>
      <w:r>
        <w:t xml:space="preserve">The four standards have been developed based on the </w:t>
      </w:r>
      <w:hyperlink r:id="rId8">
        <w:r>
          <w:rPr>
            <w:rStyle w:val="Hyperlink"/>
          </w:rPr>
          <w:t>MPAI process</w:t>
        </w:r>
      </w:hyperlink>
      <w:r>
        <w:t xml:space="preserve">; </w:t>
      </w:r>
    </w:p>
    <w:p w14:paraId="387C905B" w14:textId="77777777" w:rsidR="00257EF0" w:rsidRDefault="001F3B20">
      <w:pPr>
        <w:numPr>
          <w:ilvl w:val="0"/>
          <w:numId w:val="3"/>
        </w:numPr>
        <w:jc w:val="both"/>
      </w:pPr>
      <w:r>
        <w:t xml:space="preserve">Between December 2020 and March 2021. MPAI issues 4 Calls for Technologies each referring to two documents – Functional Requirements and Framework Licence. </w:t>
      </w:r>
    </w:p>
    <w:p w14:paraId="387C905C" w14:textId="77777777" w:rsidR="00257EF0" w:rsidRDefault="001F3B20">
      <w:pPr>
        <w:numPr>
          <w:ilvl w:val="0"/>
          <w:numId w:val="3"/>
        </w:numPr>
        <w:jc w:val="both"/>
      </w:pPr>
      <w:r>
        <w:t xml:space="preserve">In the September to December 2021 time frame, the 4 standards have been approved. </w:t>
      </w:r>
    </w:p>
    <w:p w14:paraId="387C905D" w14:textId="3132DB40" w:rsidR="00257EF0" w:rsidRDefault="001F3B20">
      <w:pPr>
        <w:numPr>
          <w:ilvl w:val="0"/>
          <w:numId w:val="3"/>
        </w:numPr>
        <w:jc w:val="both"/>
      </w:pPr>
      <w:r>
        <w:t xml:space="preserve">In </w:t>
      </w:r>
      <w:r w:rsidR="007B728E">
        <w:t>December 2021 and January</w:t>
      </w:r>
      <w:r>
        <w:t xml:space="preserve"> 2022, the MPAI Secretariat requested its members to declare whether they believed </w:t>
      </w:r>
      <w:r w:rsidR="00F27BBC">
        <w:t>holding</w:t>
      </w:r>
      <w:r>
        <w:t xml:space="preserve"> patents essential to the four standards. </w:t>
      </w:r>
    </w:p>
    <w:p w14:paraId="387C905E" w14:textId="77777777" w:rsidR="00257EF0" w:rsidRDefault="001F3B20">
      <w:pPr>
        <w:numPr>
          <w:ilvl w:val="0"/>
          <w:numId w:val="3"/>
        </w:numPr>
        <w:jc w:val="both"/>
      </w:pPr>
      <w:r>
        <w:t xml:space="preserve">In March 2022, the Secretariat issued a Call for Patent Pool Administrators on behalf of the identified patent holders. </w:t>
      </w:r>
    </w:p>
    <w:p w14:paraId="387C905F" w14:textId="47D0323C" w:rsidR="00257EF0" w:rsidRDefault="001F3B20">
      <w:pPr>
        <w:numPr>
          <w:ilvl w:val="0"/>
          <w:numId w:val="3"/>
        </w:numPr>
        <w:jc w:val="both"/>
      </w:pPr>
      <w:r>
        <w:t>In May 2022, the result of the Call was communicated to patent holders</w:t>
      </w:r>
      <w:r w:rsidR="00AA39EF">
        <w:t>.</w:t>
      </w:r>
    </w:p>
    <w:p w14:paraId="387C9060" w14:textId="77777777" w:rsidR="00257EF0" w:rsidRDefault="00257EF0">
      <w:pPr>
        <w:jc w:val="both"/>
      </w:pPr>
    </w:p>
    <w:p w14:paraId="387C9061" w14:textId="06654A7D" w:rsidR="00257EF0" w:rsidRDefault="001F3B20">
      <w:pPr>
        <w:jc w:val="both"/>
      </w:pPr>
      <w:r>
        <w:t>According to the MPAI process, the patent holders will select the patent pool administrator with a majority of 2/3 of the patent holders’ votes. The licence</w:t>
      </w:r>
      <w:r w:rsidR="0038328D">
        <w:t>s</w:t>
      </w:r>
      <w:r>
        <w:t xml:space="preserve"> shall have a total cost comparable with the total cost of similar technologies and be released not after products are on the market. </w:t>
      </w:r>
    </w:p>
    <w:p w14:paraId="387C9062" w14:textId="77777777" w:rsidR="00257EF0" w:rsidRDefault="00257EF0">
      <w:pPr>
        <w:jc w:val="both"/>
      </w:pPr>
    </w:p>
    <w:p w14:paraId="387C9063" w14:textId="2B387C37" w:rsidR="00257EF0" w:rsidRDefault="001F3B20">
      <w:pPr>
        <w:jc w:val="both"/>
      </w:pPr>
      <w:r>
        <w:t xml:space="preserve">MPAI is developing the Calls for Technologies with associated Functional Requirements and Framework Licences for </w:t>
      </w:r>
      <w:r w:rsidR="0023548B">
        <w:t xml:space="preserve">Version 2 of </w:t>
      </w:r>
      <w:r>
        <w:t>the MPAI-AIF</w:t>
      </w:r>
      <w:r w:rsidR="00073FB2">
        <w:t xml:space="preserve"> </w:t>
      </w:r>
      <w:r>
        <w:t>and MPAI-MMC standards, planning to publish the Calls on 19 July 2022. The definition of the terms of the Framework Licences, a licence without critical data such as cost, dates, rates etc., is a prerogative of the MPAI Principal Members.</w:t>
      </w:r>
    </w:p>
    <w:p w14:paraId="387C9064" w14:textId="77777777" w:rsidR="00257EF0" w:rsidRDefault="00257EF0">
      <w:pPr>
        <w:jc w:val="both"/>
      </w:pPr>
    </w:p>
    <w:p w14:paraId="387C9065" w14:textId="77777777" w:rsidR="00257EF0" w:rsidRDefault="001F3B20">
      <w:pPr>
        <w:jc w:val="both"/>
      </w:pPr>
      <w:r>
        <w:t>Version 2 will substantially extend the capabilities of Version 1 of the 3 standards by supporting three new use cases:</w:t>
      </w:r>
    </w:p>
    <w:p w14:paraId="387C9066" w14:textId="6BB7B815" w:rsidR="00257EF0" w:rsidRDefault="001F3B20">
      <w:pPr>
        <w:pStyle w:val="ListParagraph"/>
        <w:numPr>
          <w:ilvl w:val="0"/>
          <w:numId w:val="2"/>
        </w:numPr>
        <w:jc w:val="both"/>
      </w:pPr>
      <w:r>
        <w:rPr>
          <w:i/>
          <w:iCs/>
        </w:rPr>
        <w:t>Conversation About a Scene</w:t>
      </w:r>
      <w:r>
        <w:t>: a human holds a conversation with a machine about objects in a scene of which the human is part. While conversing, the human points their fingers to indicate their interest in a particular object.</w:t>
      </w:r>
    </w:p>
    <w:p w14:paraId="387C9067" w14:textId="77777777" w:rsidR="00257EF0" w:rsidRDefault="001F3B20">
      <w:pPr>
        <w:pStyle w:val="ListParagraph"/>
        <w:numPr>
          <w:ilvl w:val="0"/>
          <w:numId w:val="2"/>
        </w:numPr>
        <w:jc w:val="both"/>
      </w:pPr>
      <w:r>
        <w:rPr>
          <w:i/>
          <w:iCs/>
        </w:rPr>
        <w:t>Human-Connected Autonomous Vehicle Interaction</w:t>
      </w:r>
      <w:r>
        <w:t xml:space="preserve">: a group of humans converse with a Connected Autonomous Vehicle (CAV) on a domain-specific subject (travel by car). The machine understands the utterances, the emotion in the speech and the expression in the faces and in the gestures of the humans it is conversing with, and manifests itself as head and shoulder of an avatar whose face and head convey emotions congruent with the uttered speech.  </w:t>
      </w:r>
    </w:p>
    <w:p w14:paraId="387C9068" w14:textId="51FEA0F0" w:rsidR="00257EF0" w:rsidRDefault="001F3B20">
      <w:pPr>
        <w:pStyle w:val="ListParagraph"/>
        <w:numPr>
          <w:ilvl w:val="0"/>
          <w:numId w:val="2"/>
        </w:numPr>
        <w:jc w:val="both"/>
      </w:pPr>
      <w:r>
        <w:rPr>
          <w:i/>
          <w:iCs/>
        </w:rPr>
        <w:lastRenderedPageBreak/>
        <w:t>Avatar Videoconference</w:t>
      </w:r>
      <w:r>
        <w:t xml:space="preserve">. Avatars participate in a videoconference reproducing the upper part of the human bodies they represent with a high degree of accuracy. A virtual secretary with </w:t>
      </w:r>
      <w:r w:rsidR="001D0781">
        <w:t xml:space="preserve">a </w:t>
      </w:r>
      <w:r>
        <w:t>humanly appearance creates an online summary of the meeting. The quality of the summary is enhanced by the virtual secretary’s ability to detect the avatars’ emotions and expressions and to interact with avatars requesting changes to the summary. The quality of the interaction os enhanced by the virtual secretary’s ability to show emotions and expressions.</w:t>
      </w:r>
    </w:p>
    <w:p w14:paraId="387C9069" w14:textId="77777777" w:rsidR="00257EF0" w:rsidRDefault="00257EF0">
      <w:pPr>
        <w:jc w:val="both"/>
      </w:pPr>
    </w:p>
    <w:p w14:paraId="387C906A" w14:textId="77777777" w:rsidR="00257EF0" w:rsidRDefault="001F3B20">
      <w:pPr>
        <w:jc w:val="both"/>
      </w:pPr>
      <w:r>
        <w:t xml:space="preserve">MPAI develops data coding standards for applications that have AI as the core enabling technology. Any legal entity supporting the MPAI mission may </w:t>
      </w:r>
      <w:hyperlink r:id="rId9">
        <w:r>
          <w:rPr>
            <w:rStyle w:val="Hyperlink"/>
          </w:rPr>
          <w:t>join MPAI</w:t>
        </w:r>
      </w:hyperlink>
      <w:r>
        <w:t>, if able to contribute to the development of standards for the efficient use of data.</w:t>
      </w:r>
    </w:p>
    <w:p w14:paraId="387C906B" w14:textId="77777777" w:rsidR="00257EF0" w:rsidRDefault="00257EF0">
      <w:pPr>
        <w:jc w:val="both"/>
      </w:pPr>
    </w:p>
    <w:p w14:paraId="387C906C" w14:textId="77777777" w:rsidR="00257EF0" w:rsidRDefault="001F3B20">
      <w:pPr>
        <w:jc w:val="both"/>
      </w:pPr>
      <w:r>
        <w:t>So far, MPAI has developed 5 standards (normal font in the list below), is currently engaged in extending two approved standards (</w:t>
      </w:r>
      <w:r>
        <w:rPr>
          <w:u w:val="single"/>
        </w:rPr>
        <w:t>underlined</w:t>
      </w:r>
      <w:r>
        <w:t>) and is developing other 9 standards (</w:t>
      </w:r>
      <w:r>
        <w:rPr>
          <w:i/>
          <w:iCs/>
        </w:rPr>
        <w:t>italic</w:t>
      </w:r>
      <w:r>
        <w:t>).</w:t>
      </w:r>
    </w:p>
    <w:p w14:paraId="387C906D" w14:textId="77777777" w:rsidR="00257EF0" w:rsidRDefault="00257EF0">
      <w:pPr>
        <w:jc w:val="both"/>
      </w:pPr>
    </w:p>
    <w:tbl>
      <w:tblPr>
        <w:tblStyle w:val="TableGrid"/>
        <w:tblW w:w="9345" w:type="dxa"/>
        <w:tblLayout w:type="fixed"/>
        <w:tblLook w:val="04A0" w:firstRow="1" w:lastRow="0" w:firstColumn="1" w:lastColumn="0" w:noHBand="0" w:noVBand="1"/>
      </w:tblPr>
      <w:tblGrid>
        <w:gridCol w:w="2798"/>
        <w:gridCol w:w="1592"/>
        <w:gridCol w:w="4955"/>
      </w:tblGrid>
      <w:tr w:rsidR="00257EF0" w14:paraId="387C9071" w14:textId="77777777">
        <w:tc>
          <w:tcPr>
            <w:tcW w:w="2798" w:type="dxa"/>
          </w:tcPr>
          <w:p w14:paraId="387C906E" w14:textId="77777777" w:rsidR="00257EF0" w:rsidRDefault="001F3B20">
            <w:pPr>
              <w:jc w:val="center"/>
              <w:rPr>
                <w:b/>
                <w:bCs/>
              </w:rPr>
            </w:pPr>
            <w:r>
              <w:rPr>
                <w:b/>
                <w:bCs/>
              </w:rPr>
              <w:t>Name of standard</w:t>
            </w:r>
          </w:p>
        </w:tc>
        <w:tc>
          <w:tcPr>
            <w:tcW w:w="1592" w:type="dxa"/>
          </w:tcPr>
          <w:p w14:paraId="387C906F" w14:textId="77777777" w:rsidR="00257EF0" w:rsidRDefault="001F3B20">
            <w:pPr>
              <w:jc w:val="center"/>
              <w:rPr>
                <w:b/>
                <w:bCs/>
              </w:rPr>
            </w:pPr>
            <w:r>
              <w:rPr>
                <w:b/>
                <w:bCs/>
              </w:rPr>
              <w:t>Acronym</w:t>
            </w:r>
          </w:p>
        </w:tc>
        <w:tc>
          <w:tcPr>
            <w:tcW w:w="4955" w:type="dxa"/>
          </w:tcPr>
          <w:p w14:paraId="387C9070" w14:textId="77777777" w:rsidR="00257EF0" w:rsidRDefault="001F3B20">
            <w:pPr>
              <w:jc w:val="center"/>
              <w:rPr>
                <w:b/>
                <w:bCs/>
              </w:rPr>
            </w:pPr>
            <w:r>
              <w:rPr>
                <w:b/>
                <w:bCs/>
              </w:rPr>
              <w:t>Brief description</w:t>
            </w:r>
          </w:p>
        </w:tc>
      </w:tr>
      <w:tr w:rsidR="00257EF0" w14:paraId="387C9075" w14:textId="77777777">
        <w:tc>
          <w:tcPr>
            <w:tcW w:w="2798" w:type="dxa"/>
          </w:tcPr>
          <w:p w14:paraId="387C9072" w14:textId="77777777" w:rsidR="00257EF0" w:rsidRDefault="0038328D">
            <w:hyperlink r:id="rId10">
              <w:r w:rsidR="001F3B20">
                <w:rPr>
                  <w:rStyle w:val="Hyperlink"/>
                </w:rPr>
                <w:t>AI Framework</w:t>
              </w:r>
            </w:hyperlink>
          </w:p>
        </w:tc>
        <w:tc>
          <w:tcPr>
            <w:tcW w:w="1592" w:type="dxa"/>
          </w:tcPr>
          <w:p w14:paraId="387C9073" w14:textId="77777777" w:rsidR="00257EF0" w:rsidRDefault="001F3B20">
            <w:pPr>
              <w:jc w:val="both"/>
              <w:rPr>
                <w:u w:val="single"/>
              </w:rPr>
            </w:pPr>
            <w:r>
              <w:rPr>
                <w:u w:val="single"/>
              </w:rPr>
              <w:t>MPAI-AIF</w:t>
            </w:r>
          </w:p>
        </w:tc>
        <w:tc>
          <w:tcPr>
            <w:tcW w:w="4955" w:type="dxa"/>
          </w:tcPr>
          <w:p w14:paraId="387C9074" w14:textId="77777777" w:rsidR="00257EF0" w:rsidRDefault="001F3B20">
            <w:pPr>
              <w:jc w:val="both"/>
            </w:pPr>
            <w:r>
              <w:t xml:space="preserve">Specifies an infrastructure enabling the execution of implementations and access to the MPAI Store. </w:t>
            </w:r>
            <w:r>
              <w:rPr>
                <w:u w:val="single"/>
              </w:rPr>
              <w:t>MPAI-AIF V2 is being prepared</w:t>
            </w:r>
            <w:r>
              <w:t>.</w:t>
            </w:r>
          </w:p>
        </w:tc>
      </w:tr>
      <w:tr w:rsidR="00257EF0" w14:paraId="387C9079" w14:textId="77777777">
        <w:tc>
          <w:tcPr>
            <w:tcW w:w="2798" w:type="dxa"/>
          </w:tcPr>
          <w:p w14:paraId="387C9076" w14:textId="77777777" w:rsidR="00257EF0" w:rsidRDefault="0038328D">
            <w:hyperlink r:id="rId11">
              <w:r w:rsidR="001F3B20">
                <w:rPr>
                  <w:rStyle w:val="Hyperlink"/>
                </w:rPr>
                <w:t>Context-based Audio Enhancement</w:t>
              </w:r>
            </w:hyperlink>
          </w:p>
        </w:tc>
        <w:tc>
          <w:tcPr>
            <w:tcW w:w="1592" w:type="dxa"/>
          </w:tcPr>
          <w:p w14:paraId="387C9077" w14:textId="77777777" w:rsidR="00257EF0" w:rsidRDefault="001F3B20">
            <w:pPr>
              <w:jc w:val="both"/>
            </w:pPr>
            <w:r>
              <w:t>MPAI-CAE</w:t>
            </w:r>
          </w:p>
        </w:tc>
        <w:tc>
          <w:tcPr>
            <w:tcW w:w="4955" w:type="dxa"/>
          </w:tcPr>
          <w:p w14:paraId="387C9078" w14:textId="77777777" w:rsidR="00257EF0" w:rsidRDefault="001F3B20">
            <w:pPr>
              <w:jc w:val="both"/>
            </w:pPr>
            <w:r>
              <w:t xml:space="preserve">Improves the user experience of audio-related applications in a variety of contexts. </w:t>
            </w:r>
            <w:r>
              <w:rPr>
                <w:u w:val="single"/>
              </w:rPr>
              <w:t>MPAI-CAE V2 is being prepared</w:t>
            </w:r>
            <w:r>
              <w:t>.</w:t>
            </w:r>
          </w:p>
        </w:tc>
      </w:tr>
      <w:tr w:rsidR="00257EF0" w14:paraId="387C907D" w14:textId="77777777">
        <w:tc>
          <w:tcPr>
            <w:tcW w:w="2798" w:type="dxa"/>
          </w:tcPr>
          <w:p w14:paraId="387C907A" w14:textId="77777777" w:rsidR="00257EF0" w:rsidRDefault="0038328D">
            <w:hyperlink r:id="rId12">
              <w:r w:rsidR="001F3B20">
                <w:rPr>
                  <w:rStyle w:val="Hyperlink"/>
                </w:rPr>
                <w:t>Compression and Understanding of Industrial Data</w:t>
              </w:r>
            </w:hyperlink>
          </w:p>
        </w:tc>
        <w:tc>
          <w:tcPr>
            <w:tcW w:w="1592" w:type="dxa"/>
          </w:tcPr>
          <w:p w14:paraId="387C907B" w14:textId="77777777" w:rsidR="00257EF0" w:rsidRDefault="001F3B20">
            <w:pPr>
              <w:jc w:val="both"/>
            </w:pPr>
            <w:r>
              <w:t>MPAI-CUI</w:t>
            </w:r>
          </w:p>
        </w:tc>
        <w:tc>
          <w:tcPr>
            <w:tcW w:w="4955" w:type="dxa"/>
          </w:tcPr>
          <w:p w14:paraId="387C907C" w14:textId="77777777" w:rsidR="00257EF0" w:rsidRDefault="001F3B20">
            <w:pPr>
              <w:jc w:val="both"/>
            </w:pPr>
            <w:r>
              <w:t>Predicts the company performance from governance, financial, and risk data.</w:t>
            </w:r>
          </w:p>
        </w:tc>
      </w:tr>
      <w:tr w:rsidR="00257EF0" w14:paraId="387C9081" w14:textId="77777777">
        <w:tc>
          <w:tcPr>
            <w:tcW w:w="2798" w:type="dxa"/>
          </w:tcPr>
          <w:p w14:paraId="387C907E" w14:textId="77777777" w:rsidR="00257EF0" w:rsidRDefault="0038328D">
            <w:hyperlink r:id="rId13">
              <w:r w:rsidR="001F3B20">
                <w:rPr>
                  <w:rStyle w:val="Hyperlink"/>
                </w:rPr>
                <w:t>Governance of the MPAI Ecosystem</w:t>
              </w:r>
            </w:hyperlink>
          </w:p>
        </w:tc>
        <w:tc>
          <w:tcPr>
            <w:tcW w:w="1592" w:type="dxa"/>
          </w:tcPr>
          <w:p w14:paraId="387C907F" w14:textId="77777777" w:rsidR="00257EF0" w:rsidRDefault="001F3B20">
            <w:pPr>
              <w:jc w:val="both"/>
            </w:pPr>
            <w:r>
              <w:t>MPAI-GME</w:t>
            </w:r>
          </w:p>
        </w:tc>
        <w:tc>
          <w:tcPr>
            <w:tcW w:w="4955" w:type="dxa"/>
          </w:tcPr>
          <w:p w14:paraId="387C9080" w14:textId="77777777" w:rsidR="00257EF0" w:rsidRDefault="001F3B20">
            <w:pPr>
              <w:jc w:val="both"/>
            </w:pPr>
            <w:r>
              <w:t>Establishes the rules governing the submission of and access to interoperable implementations.</w:t>
            </w:r>
          </w:p>
        </w:tc>
      </w:tr>
      <w:tr w:rsidR="00257EF0" w14:paraId="387C9085" w14:textId="77777777">
        <w:tc>
          <w:tcPr>
            <w:tcW w:w="2798" w:type="dxa"/>
          </w:tcPr>
          <w:p w14:paraId="387C9082" w14:textId="77777777" w:rsidR="00257EF0" w:rsidRDefault="0038328D">
            <w:hyperlink r:id="rId14">
              <w:r w:rsidR="001F3B20">
                <w:rPr>
                  <w:rStyle w:val="Hyperlink"/>
                </w:rPr>
                <w:t>Multimodal Conversation</w:t>
              </w:r>
            </w:hyperlink>
          </w:p>
        </w:tc>
        <w:tc>
          <w:tcPr>
            <w:tcW w:w="1592" w:type="dxa"/>
          </w:tcPr>
          <w:p w14:paraId="387C9083" w14:textId="77777777" w:rsidR="00257EF0" w:rsidRDefault="001F3B20">
            <w:pPr>
              <w:jc w:val="both"/>
              <w:rPr>
                <w:u w:val="single"/>
              </w:rPr>
            </w:pPr>
            <w:r>
              <w:rPr>
                <w:u w:val="single"/>
              </w:rPr>
              <w:t>MPAI-MMC</w:t>
            </w:r>
          </w:p>
        </w:tc>
        <w:tc>
          <w:tcPr>
            <w:tcW w:w="4955" w:type="dxa"/>
          </w:tcPr>
          <w:p w14:paraId="387C9084" w14:textId="77777777" w:rsidR="00257EF0" w:rsidRDefault="001F3B20">
            <w:pPr>
              <w:jc w:val="both"/>
            </w:pPr>
            <w:r>
              <w:t xml:space="preserve">Enables human-machine conversation emulating human-human conversation. </w:t>
            </w:r>
            <w:r>
              <w:rPr>
                <w:u w:val="single"/>
              </w:rPr>
              <w:t>MPAI-MMC V2 is being prepared.</w:t>
            </w:r>
          </w:p>
        </w:tc>
      </w:tr>
      <w:tr w:rsidR="00257EF0" w14:paraId="387C9089" w14:textId="77777777">
        <w:tc>
          <w:tcPr>
            <w:tcW w:w="2798" w:type="dxa"/>
          </w:tcPr>
          <w:p w14:paraId="387C9086" w14:textId="77777777" w:rsidR="00257EF0" w:rsidRDefault="0038328D">
            <w:pPr>
              <w:rPr>
                <w:i/>
                <w:iCs/>
              </w:rPr>
            </w:pPr>
            <w:hyperlink r:id="rId15">
              <w:r w:rsidR="001F3B20">
                <w:rPr>
                  <w:rStyle w:val="Hyperlink"/>
                  <w:i/>
                  <w:iCs/>
                </w:rPr>
                <w:t>Server-based Predictive Multiplayer Gaming</w:t>
              </w:r>
            </w:hyperlink>
          </w:p>
        </w:tc>
        <w:tc>
          <w:tcPr>
            <w:tcW w:w="1592" w:type="dxa"/>
          </w:tcPr>
          <w:p w14:paraId="387C9087" w14:textId="77777777" w:rsidR="00257EF0" w:rsidRDefault="001F3B20">
            <w:pPr>
              <w:jc w:val="both"/>
              <w:rPr>
                <w:i/>
                <w:iCs/>
              </w:rPr>
            </w:pPr>
            <w:r>
              <w:rPr>
                <w:i/>
                <w:iCs/>
              </w:rPr>
              <w:t>MPAI-SPG</w:t>
            </w:r>
          </w:p>
        </w:tc>
        <w:tc>
          <w:tcPr>
            <w:tcW w:w="4955" w:type="dxa"/>
          </w:tcPr>
          <w:p w14:paraId="387C9088" w14:textId="77777777" w:rsidR="00257EF0" w:rsidRDefault="001F3B20">
            <w:pPr>
              <w:jc w:val="both"/>
              <w:rPr>
                <w:i/>
                <w:iCs/>
              </w:rPr>
            </w:pPr>
            <w:r>
              <w:rPr>
                <w:i/>
                <w:iCs/>
              </w:rPr>
              <w:t>Trains a network to com</w:t>
            </w:r>
            <w:r>
              <w:rPr>
                <w:i/>
                <w:iCs/>
              </w:rPr>
              <w:softHyphen/>
              <w:t>pensate data losses and detects false data in online multiplayer gaming.</w:t>
            </w:r>
          </w:p>
        </w:tc>
      </w:tr>
      <w:tr w:rsidR="00257EF0" w14:paraId="387C908D" w14:textId="77777777">
        <w:tc>
          <w:tcPr>
            <w:tcW w:w="2798" w:type="dxa"/>
          </w:tcPr>
          <w:p w14:paraId="387C908A" w14:textId="77777777" w:rsidR="00257EF0" w:rsidRDefault="0038328D">
            <w:pPr>
              <w:rPr>
                <w:i/>
                <w:iCs/>
              </w:rPr>
            </w:pPr>
            <w:hyperlink r:id="rId16">
              <w:r w:rsidR="001F3B20">
                <w:rPr>
                  <w:rStyle w:val="Hyperlink"/>
                  <w:i/>
                  <w:iCs/>
                </w:rPr>
                <w:t>AI-Enhanced Video Coding</w:t>
              </w:r>
            </w:hyperlink>
            <w:r w:rsidR="001F3B20">
              <w:rPr>
                <w:i/>
                <w:iCs/>
              </w:rPr>
              <w:t xml:space="preserve"> </w:t>
            </w:r>
          </w:p>
        </w:tc>
        <w:tc>
          <w:tcPr>
            <w:tcW w:w="1592" w:type="dxa"/>
          </w:tcPr>
          <w:p w14:paraId="387C908B" w14:textId="77777777" w:rsidR="00257EF0" w:rsidRDefault="001F3B20">
            <w:pPr>
              <w:jc w:val="both"/>
              <w:rPr>
                <w:i/>
                <w:iCs/>
              </w:rPr>
            </w:pPr>
            <w:r>
              <w:rPr>
                <w:i/>
                <w:iCs/>
              </w:rPr>
              <w:t>MPAI-EVC</w:t>
            </w:r>
          </w:p>
        </w:tc>
        <w:tc>
          <w:tcPr>
            <w:tcW w:w="4955" w:type="dxa"/>
          </w:tcPr>
          <w:p w14:paraId="387C908C" w14:textId="77777777" w:rsidR="00257EF0" w:rsidRDefault="001F3B20">
            <w:pPr>
              <w:jc w:val="both"/>
              <w:rPr>
                <w:i/>
                <w:iCs/>
              </w:rPr>
            </w:pPr>
            <w:r>
              <w:rPr>
                <w:i/>
                <w:iCs/>
              </w:rPr>
              <w:t xml:space="preserve">Improves existing video coding with AI tools for short-to-medium term applications. </w:t>
            </w:r>
          </w:p>
        </w:tc>
      </w:tr>
      <w:tr w:rsidR="00257EF0" w14:paraId="387C9091" w14:textId="77777777">
        <w:tc>
          <w:tcPr>
            <w:tcW w:w="2798" w:type="dxa"/>
          </w:tcPr>
          <w:p w14:paraId="387C908E" w14:textId="77777777" w:rsidR="00257EF0" w:rsidRDefault="0038328D">
            <w:pPr>
              <w:rPr>
                <w:i/>
                <w:iCs/>
              </w:rPr>
            </w:pPr>
            <w:hyperlink r:id="rId17">
              <w:r w:rsidR="001F3B20">
                <w:rPr>
                  <w:rStyle w:val="Hyperlink"/>
                  <w:i/>
                  <w:iCs/>
                </w:rPr>
                <w:t>End-to-End Video Coding</w:t>
              </w:r>
            </w:hyperlink>
            <w:r w:rsidR="001F3B20">
              <w:rPr>
                <w:i/>
                <w:iCs/>
              </w:rPr>
              <w:t xml:space="preserve"> </w:t>
            </w:r>
          </w:p>
        </w:tc>
        <w:tc>
          <w:tcPr>
            <w:tcW w:w="1592" w:type="dxa"/>
          </w:tcPr>
          <w:p w14:paraId="387C908F" w14:textId="77777777" w:rsidR="00257EF0" w:rsidRDefault="001F3B20">
            <w:pPr>
              <w:jc w:val="both"/>
              <w:rPr>
                <w:i/>
                <w:iCs/>
              </w:rPr>
            </w:pPr>
            <w:r>
              <w:rPr>
                <w:i/>
                <w:iCs/>
              </w:rPr>
              <w:t>MPAI-EEV</w:t>
            </w:r>
          </w:p>
        </w:tc>
        <w:tc>
          <w:tcPr>
            <w:tcW w:w="4955" w:type="dxa"/>
          </w:tcPr>
          <w:p w14:paraId="387C9090" w14:textId="77777777" w:rsidR="00257EF0" w:rsidRDefault="001F3B20">
            <w:pPr>
              <w:jc w:val="both"/>
              <w:rPr>
                <w:i/>
                <w:iCs/>
              </w:rPr>
            </w:pPr>
            <w:r>
              <w:rPr>
                <w:i/>
                <w:iCs/>
              </w:rPr>
              <w:t>Explores the promising area of AI-based “end-to-end” video coding for longer-term applications.</w:t>
            </w:r>
          </w:p>
        </w:tc>
      </w:tr>
      <w:tr w:rsidR="00257EF0" w14:paraId="387C9095" w14:textId="77777777">
        <w:tc>
          <w:tcPr>
            <w:tcW w:w="2798" w:type="dxa"/>
          </w:tcPr>
          <w:p w14:paraId="387C9092" w14:textId="77777777" w:rsidR="00257EF0" w:rsidRDefault="0038328D">
            <w:pPr>
              <w:rPr>
                <w:i/>
                <w:iCs/>
              </w:rPr>
            </w:pPr>
            <w:hyperlink r:id="rId18">
              <w:r w:rsidR="001F3B20">
                <w:rPr>
                  <w:rStyle w:val="Hyperlink"/>
                  <w:i/>
                  <w:iCs/>
                </w:rPr>
                <w:t>Connected Autonomous Vehicles</w:t>
              </w:r>
            </w:hyperlink>
            <w:r w:rsidR="001F3B20">
              <w:rPr>
                <w:i/>
                <w:iCs/>
              </w:rPr>
              <w:t xml:space="preserve"> </w:t>
            </w:r>
          </w:p>
        </w:tc>
        <w:tc>
          <w:tcPr>
            <w:tcW w:w="1592" w:type="dxa"/>
          </w:tcPr>
          <w:p w14:paraId="387C9093" w14:textId="77777777" w:rsidR="00257EF0" w:rsidRDefault="001F3B20">
            <w:pPr>
              <w:jc w:val="both"/>
              <w:rPr>
                <w:i/>
                <w:iCs/>
              </w:rPr>
            </w:pPr>
            <w:r>
              <w:rPr>
                <w:i/>
                <w:iCs/>
              </w:rPr>
              <w:t>MPAI-CAV</w:t>
            </w:r>
          </w:p>
        </w:tc>
        <w:tc>
          <w:tcPr>
            <w:tcW w:w="4955" w:type="dxa"/>
          </w:tcPr>
          <w:p w14:paraId="387C9094" w14:textId="77777777" w:rsidR="00257EF0" w:rsidRDefault="001F3B20">
            <w:pPr>
              <w:jc w:val="both"/>
              <w:rPr>
                <w:i/>
                <w:iCs/>
              </w:rPr>
            </w:pPr>
            <w:r>
              <w:rPr>
                <w:i/>
                <w:iCs/>
              </w:rPr>
              <w:t>Specifies components for Environment Sensing, Autonomous Motion, and Motion Actuation.</w:t>
            </w:r>
          </w:p>
        </w:tc>
      </w:tr>
      <w:tr w:rsidR="00257EF0" w14:paraId="387C9099" w14:textId="77777777">
        <w:tc>
          <w:tcPr>
            <w:tcW w:w="2798" w:type="dxa"/>
          </w:tcPr>
          <w:p w14:paraId="387C9096" w14:textId="77777777" w:rsidR="00257EF0" w:rsidRDefault="0038328D">
            <w:pPr>
              <w:rPr>
                <w:i/>
                <w:iCs/>
              </w:rPr>
            </w:pPr>
            <w:hyperlink r:id="rId19">
              <w:r w:rsidR="001F3B20">
                <w:rPr>
                  <w:rStyle w:val="Hyperlink"/>
                  <w:i/>
                  <w:iCs/>
                </w:rPr>
                <w:t>Avatar Representation and Animation</w:t>
              </w:r>
            </w:hyperlink>
            <w:r w:rsidR="001F3B20">
              <w:rPr>
                <w:i/>
                <w:iCs/>
              </w:rPr>
              <w:t xml:space="preserve"> </w:t>
            </w:r>
          </w:p>
        </w:tc>
        <w:tc>
          <w:tcPr>
            <w:tcW w:w="1592" w:type="dxa"/>
          </w:tcPr>
          <w:p w14:paraId="387C9097" w14:textId="77777777" w:rsidR="00257EF0" w:rsidRDefault="001F3B20">
            <w:pPr>
              <w:jc w:val="both"/>
              <w:rPr>
                <w:i/>
                <w:iCs/>
              </w:rPr>
            </w:pPr>
            <w:r>
              <w:rPr>
                <w:i/>
                <w:iCs/>
              </w:rPr>
              <w:t>MPAI-ARA</w:t>
            </w:r>
          </w:p>
        </w:tc>
        <w:tc>
          <w:tcPr>
            <w:tcW w:w="4955" w:type="dxa"/>
          </w:tcPr>
          <w:p w14:paraId="387C9098" w14:textId="77777777" w:rsidR="00257EF0" w:rsidRDefault="001F3B20">
            <w:pPr>
              <w:jc w:val="both"/>
              <w:rPr>
                <w:i/>
                <w:iCs/>
              </w:rPr>
            </w:pPr>
            <w:r>
              <w:rPr>
                <w:i/>
                <w:iCs/>
              </w:rPr>
              <w:t>Specifies descriptors of avatars impersonating real humans.</w:t>
            </w:r>
          </w:p>
        </w:tc>
      </w:tr>
      <w:tr w:rsidR="00257EF0" w14:paraId="387C909D" w14:textId="77777777">
        <w:tc>
          <w:tcPr>
            <w:tcW w:w="2798" w:type="dxa"/>
          </w:tcPr>
          <w:p w14:paraId="387C909A" w14:textId="77777777" w:rsidR="00257EF0" w:rsidRDefault="0038328D">
            <w:pPr>
              <w:rPr>
                <w:i/>
                <w:iCs/>
              </w:rPr>
            </w:pPr>
            <w:hyperlink r:id="rId20">
              <w:r w:rsidR="001F3B20">
                <w:rPr>
                  <w:rStyle w:val="Hyperlink"/>
                  <w:i/>
                  <w:iCs/>
                </w:rPr>
                <w:t>Neural Network Watermarking</w:t>
              </w:r>
            </w:hyperlink>
            <w:r w:rsidR="001F3B20">
              <w:rPr>
                <w:i/>
                <w:iCs/>
              </w:rPr>
              <w:t xml:space="preserve"> </w:t>
            </w:r>
          </w:p>
        </w:tc>
        <w:tc>
          <w:tcPr>
            <w:tcW w:w="1592" w:type="dxa"/>
          </w:tcPr>
          <w:p w14:paraId="387C909B" w14:textId="77777777" w:rsidR="00257EF0" w:rsidRDefault="001F3B20">
            <w:pPr>
              <w:jc w:val="both"/>
              <w:rPr>
                <w:i/>
                <w:iCs/>
              </w:rPr>
            </w:pPr>
            <w:r>
              <w:rPr>
                <w:i/>
                <w:iCs/>
              </w:rPr>
              <w:t xml:space="preserve">MPAI-NNW </w:t>
            </w:r>
          </w:p>
        </w:tc>
        <w:tc>
          <w:tcPr>
            <w:tcW w:w="4955" w:type="dxa"/>
          </w:tcPr>
          <w:p w14:paraId="387C909C" w14:textId="77777777" w:rsidR="00257EF0" w:rsidRDefault="001F3B20">
            <w:pPr>
              <w:jc w:val="both"/>
              <w:rPr>
                <w:i/>
                <w:iCs/>
              </w:rPr>
            </w:pPr>
            <w:r>
              <w:rPr>
                <w:i/>
                <w:iCs/>
              </w:rPr>
              <w:t>Measures the impact of adding ownership and licensing information in models and inferences.</w:t>
            </w:r>
          </w:p>
        </w:tc>
      </w:tr>
      <w:tr w:rsidR="00257EF0" w14:paraId="387C90A1" w14:textId="77777777">
        <w:tc>
          <w:tcPr>
            <w:tcW w:w="2798" w:type="dxa"/>
          </w:tcPr>
          <w:p w14:paraId="387C909E" w14:textId="77777777" w:rsidR="00257EF0" w:rsidRDefault="0038328D">
            <w:pPr>
              <w:rPr>
                <w:i/>
                <w:iCs/>
              </w:rPr>
            </w:pPr>
            <w:hyperlink r:id="rId21">
              <w:r w:rsidR="001F3B20">
                <w:rPr>
                  <w:rStyle w:val="Hyperlink"/>
                  <w:i/>
                  <w:iCs/>
                </w:rPr>
                <w:t>Integrative Genomic/Sensor Analysis</w:t>
              </w:r>
            </w:hyperlink>
          </w:p>
        </w:tc>
        <w:tc>
          <w:tcPr>
            <w:tcW w:w="1592" w:type="dxa"/>
          </w:tcPr>
          <w:p w14:paraId="387C909F" w14:textId="77777777" w:rsidR="00257EF0" w:rsidRDefault="001F3B20">
            <w:pPr>
              <w:jc w:val="both"/>
              <w:rPr>
                <w:i/>
                <w:iCs/>
              </w:rPr>
            </w:pPr>
            <w:r>
              <w:rPr>
                <w:i/>
                <w:iCs/>
              </w:rPr>
              <w:t>MPAI-GSA</w:t>
            </w:r>
          </w:p>
        </w:tc>
        <w:tc>
          <w:tcPr>
            <w:tcW w:w="4955" w:type="dxa"/>
          </w:tcPr>
          <w:p w14:paraId="387C90A0" w14:textId="77777777" w:rsidR="00257EF0" w:rsidRDefault="001F3B20">
            <w:pPr>
              <w:jc w:val="both"/>
              <w:rPr>
                <w:i/>
                <w:iCs/>
              </w:rPr>
            </w:pPr>
            <w:r>
              <w:rPr>
                <w:i/>
                <w:iCs/>
              </w:rPr>
              <w:t>Compresses high-throughput experiments data combining genomic/proteomic and other.</w:t>
            </w:r>
          </w:p>
        </w:tc>
      </w:tr>
      <w:tr w:rsidR="00257EF0" w14:paraId="387C90A5" w14:textId="77777777">
        <w:tc>
          <w:tcPr>
            <w:tcW w:w="2798" w:type="dxa"/>
          </w:tcPr>
          <w:p w14:paraId="387C90A2" w14:textId="77777777" w:rsidR="00257EF0" w:rsidRDefault="0038328D">
            <w:pPr>
              <w:rPr>
                <w:i/>
                <w:iCs/>
              </w:rPr>
            </w:pPr>
            <w:hyperlink r:id="rId22">
              <w:r w:rsidR="001F3B20">
                <w:rPr>
                  <w:rStyle w:val="Hyperlink"/>
                  <w:i/>
                  <w:iCs/>
                </w:rPr>
                <w:t>Mixed-reality Collaborative Spaces</w:t>
              </w:r>
            </w:hyperlink>
          </w:p>
        </w:tc>
        <w:tc>
          <w:tcPr>
            <w:tcW w:w="1592" w:type="dxa"/>
          </w:tcPr>
          <w:p w14:paraId="387C90A3" w14:textId="77777777" w:rsidR="00257EF0" w:rsidRDefault="001F3B20">
            <w:pPr>
              <w:jc w:val="both"/>
              <w:rPr>
                <w:i/>
                <w:iCs/>
              </w:rPr>
            </w:pPr>
            <w:r>
              <w:rPr>
                <w:i/>
                <w:iCs/>
              </w:rPr>
              <w:t>MPAI-MCS</w:t>
            </w:r>
          </w:p>
        </w:tc>
        <w:tc>
          <w:tcPr>
            <w:tcW w:w="4955" w:type="dxa"/>
          </w:tcPr>
          <w:p w14:paraId="387C90A4" w14:textId="77777777" w:rsidR="00257EF0" w:rsidRDefault="001F3B20">
            <w:pPr>
              <w:jc w:val="both"/>
              <w:rPr>
                <w:i/>
                <w:iCs/>
              </w:rPr>
            </w:pPr>
            <w:r>
              <w:rPr>
                <w:i/>
                <w:iCs/>
              </w:rPr>
              <w:t>Supports collaboration of humans represented by avatars in virtual-reality spaces called Ambients</w:t>
            </w:r>
          </w:p>
        </w:tc>
      </w:tr>
      <w:tr w:rsidR="00257EF0" w14:paraId="387C90A9" w14:textId="77777777">
        <w:tc>
          <w:tcPr>
            <w:tcW w:w="2798" w:type="dxa"/>
          </w:tcPr>
          <w:p w14:paraId="387C90A6" w14:textId="77777777" w:rsidR="00257EF0" w:rsidRDefault="0038328D">
            <w:pPr>
              <w:rPr>
                <w:i/>
                <w:iCs/>
              </w:rPr>
            </w:pPr>
            <w:hyperlink r:id="rId23">
              <w:r w:rsidR="001F3B20">
                <w:rPr>
                  <w:rStyle w:val="Hyperlink"/>
                  <w:i/>
                  <w:iCs/>
                </w:rPr>
                <w:t>Visual Object and Scene Description</w:t>
              </w:r>
            </w:hyperlink>
          </w:p>
        </w:tc>
        <w:tc>
          <w:tcPr>
            <w:tcW w:w="1592" w:type="dxa"/>
          </w:tcPr>
          <w:p w14:paraId="387C90A7" w14:textId="77777777" w:rsidR="00257EF0" w:rsidRDefault="001F3B20">
            <w:pPr>
              <w:jc w:val="both"/>
              <w:rPr>
                <w:i/>
                <w:iCs/>
              </w:rPr>
            </w:pPr>
            <w:r>
              <w:rPr>
                <w:i/>
                <w:iCs/>
              </w:rPr>
              <w:t>MPAI-OSD</w:t>
            </w:r>
          </w:p>
        </w:tc>
        <w:tc>
          <w:tcPr>
            <w:tcW w:w="4955" w:type="dxa"/>
          </w:tcPr>
          <w:p w14:paraId="387C90A8" w14:textId="77777777" w:rsidR="00257EF0" w:rsidRDefault="001F3B20">
            <w:pPr>
              <w:jc w:val="both"/>
              <w:rPr>
                <w:i/>
                <w:iCs/>
              </w:rPr>
            </w:pPr>
            <w:r>
              <w:rPr>
                <w:i/>
                <w:iCs/>
              </w:rPr>
              <w:t>Describes objects and their attributes in a scene and the semantic description of the objects.</w:t>
            </w:r>
          </w:p>
        </w:tc>
      </w:tr>
    </w:tbl>
    <w:p w14:paraId="387C90AA" w14:textId="77777777" w:rsidR="00257EF0" w:rsidRDefault="001F3B20">
      <w:pPr>
        <w:pStyle w:val="NormalWeb"/>
        <w:spacing w:before="280" w:after="280"/>
        <w:jc w:val="both"/>
      </w:pPr>
      <w:r>
        <w:t xml:space="preserve">Visit the </w:t>
      </w:r>
      <w:hyperlink r:id="rId24">
        <w:r>
          <w:rPr>
            <w:rStyle w:val="Hyperlink"/>
          </w:rPr>
          <w:t>MPAI website</w:t>
        </w:r>
      </w:hyperlink>
      <w:r>
        <w:t xml:space="preserve">, contact the </w:t>
      </w:r>
      <w:hyperlink r:id="rId25">
        <w:r>
          <w:rPr>
            <w:rStyle w:val="Hyperlink"/>
          </w:rPr>
          <w:t>MPAI secretariat</w:t>
        </w:r>
      </w:hyperlink>
      <w:r>
        <w:t xml:space="preserve"> for specific information, subscribe to the MPAI Newsletter and follow MPAI on social media: </w:t>
      </w:r>
      <w:hyperlink r:id="rId26">
        <w:r>
          <w:rPr>
            <w:rStyle w:val="Hyperlink"/>
          </w:rPr>
          <w:t>LinkedIn</w:t>
        </w:r>
      </w:hyperlink>
      <w:r>
        <w:t xml:space="preserve">, </w:t>
      </w:r>
      <w:hyperlink r:id="rId27">
        <w:r>
          <w:rPr>
            <w:rStyle w:val="Hyperlink"/>
          </w:rPr>
          <w:t>Twitter</w:t>
        </w:r>
      </w:hyperlink>
      <w:r>
        <w:t xml:space="preserve">, </w:t>
      </w:r>
      <w:hyperlink r:id="rId28">
        <w:r>
          <w:rPr>
            <w:rStyle w:val="Hyperlink"/>
          </w:rPr>
          <w:t>Facebook</w:t>
        </w:r>
      </w:hyperlink>
      <w:r>
        <w:t xml:space="preserve">, </w:t>
      </w:r>
      <w:hyperlink r:id="rId29">
        <w:r>
          <w:rPr>
            <w:rStyle w:val="Hyperlink"/>
          </w:rPr>
          <w:t>Instagram</w:t>
        </w:r>
      </w:hyperlink>
      <w:r>
        <w:rPr>
          <w:rStyle w:val="Hyperlink"/>
        </w:rPr>
        <w:t>,</w:t>
      </w:r>
      <w:r>
        <w:t xml:space="preserve"> and </w:t>
      </w:r>
      <w:hyperlink r:id="rId30">
        <w:r>
          <w:rPr>
            <w:rStyle w:val="Hyperlink"/>
          </w:rPr>
          <w:t>YouTube</w:t>
        </w:r>
      </w:hyperlink>
      <w:r>
        <w:t>.</w:t>
      </w:r>
    </w:p>
    <w:p w14:paraId="387C90AB" w14:textId="77777777" w:rsidR="00257EF0" w:rsidRDefault="001F3B20">
      <w:pPr>
        <w:pStyle w:val="NormalWeb"/>
        <w:spacing w:before="280" w:after="280"/>
        <w:jc w:val="both"/>
      </w:pPr>
      <w:r>
        <w:lastRenderedPageBreak/>
        <w:t xml:space="preserve">Most importantly: </w:t>
      </w:r>
      <w:hyperlink r:id="rId31">
        <w:r>
          <w:rPr>
            <w:rStyle w:val="Hyperlink"/>
          </w:rPr>
          <w:t>join MPAI</w:t>
        </w:r>
      </w:hyperlink>
      <w:r>
        <w:t>, share the fun, build the future.</w:t>
      </w:r>
    </w:p>
    <w:p w14:paraId="387C90AC" w14:textId="77777777" w:rsidR="00257EF0" w:rsidRDefault="00257EF0">
      <w:pPr>
        <w:jc w:val="both"/>
      </w:pPr>
    </w:p>
    <w:p w14:paraId="387C90AD" w14:textId="77777777" w:rsidR="00257EF0" w:rsidRDefault="00257EF0">
      <w:pPr>
        <w:jc w:val="both"/>
      </w:pPr>
    </w:p>
    <w:sectPr w:rsidR="00257EF0">
      <w:pgSz w:w="11906" w:h="16838"/>
      <w:pgMar w:top="1418" w:right="1134"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DDC"/>
    <w:multiLevelType w:val="multilevel"/>
    <w:tmpl w:val="D73A5A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53D089E"/>
    <w:multiLevelType w:val="multilevel"/>
    <w:tmpl w:val="810413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FD97378"/>
    <w:multiLevelType w:val="multilevel"/>
    <w:tmpl w:val="2534A5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50690425">
    <w:abstractNumId w:val="0"/>
  </w:num>
  <w:num w:numId="2" w16cid:durableId="110781294">
    <w:abstractNumId w:val="2"/>
  </w:num>
  <w:num w:numId="3" w16cid:durableId="134952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0"/>
    <w:rsid w:val="00073FB2"/>
    <w:rsid w:val="000C10F5"/>
    <w:rsid w:val="001D0781"/>
    <w:rsid w:val="001F3B20"/>
    <w:rsid w:val="0023548B"/>
    <w:rsid w:val="00257EF0"/>
    <w:rsid w:val="0038328D"/>
    <w:rsid w:val="007B728E"/>
    <w:rsid w:val="00AA39EF"/>
    <w:rsid w:val="00B9160B"/>
    <w:rsid w:val="00F27B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C9041"/>
  <w15:docId w15:val="{8CC0FBA7-A1C0-4494-A07F-3208EA85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pPr>
      <w:suppressAutoHyphens w:val="0"/>
    </w:pPr>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5EE0"/>
    <w:rPr>
      <w:color w:val="0000FF"/>
      <w:u w:val="single"/>
    </w:rPr>
  </w:style>
  <w:style w:type="character" w:customStyle="1" w:styleId="BalloonTextChar">
    <w:name w:val="Balloon Text Char"/>
    <w:link w:val="BalloonText"/>
    <w:qFormat/>
    <w:rsid w:val="00CC1CE8"/>
    <w:rPr>
      <w:rFonts w:ascii="Lucida Grande" w:eastAsia="SimSun" w:hAnsi="Lucida Grande"/>
      <w:sz w:val="18"/>
      <w:szCs w:val="18"/>
      <w:lang w:eastAsia="zh-CN"/>
    </w:rPr>
  </w:style>
  <w:style w:type="character" w:customStyle="1" w:styleId="DocumentMapChar">
    <w:name w:val="Document Map Char"/>
    <w:link w:val="DocumentMap"/>
    <w:qFormat/>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character" w:styleId="CommentReference">
    <w:name w:val="annotation reference"/>
    <w:qFormat/>
    <w:rsid w:val="00CC1CE8"/>
    <w:rPr>
      <w:sz w:val="16"/>
      <w:szCs w:val="16"/>
    </w:rPr>
  </w:style>
  <w:style w:type="character" w:customStyle="1" w:styleId="CommentTextChar">
    <w:name w:val="Comment Text Char"/>
    <w:link w:val="CommentText"/>
    <w:qFormat/>
    <w:rsid w:val="00CC1CE8"/>
    <w:rPr>
      <w:rFonts w:eastAsia="SimSun"/>
      <w:lang w:eastAsia="zh-CN"/>
    </w:rPr>
  </w:style>
  <w:style w:type="character" w:customStyle="1" w:styleId="CommentSubjectChar">
    <w:name w:val="Comment Subject Char"/>
    <w:link w:val="CommentSubject"/>
    <w:qFormat/>
    <w:rsid w:val="00CC1CE8"/>
    <w:rPr>
      <w:rFonts w:eastAsia="SimSun"/>
      <w:b/>
      <w:bCs/>
      <w:lang w:eastAsia="zh-CN"/>
    </w:rPr>
  </w:style>
  <w:style w:type="character" w:customStyle="1" w:styleId="Heading2Char">
    <w:name w:val="Heading 2 Char"/>
    <w:link w:val="Heading2"/>
    <w:qFormat/>
    <w:rsid w:val="00CC1CE8"/>
    <w:rPr>
      <w:rFonts w:eastAsia="SimSun"/>
      <w:b/>
      <w:bCs/>
      <w:iCs/>
      <w:sz w:val="26"/>
      <w:szCs w:val="28"/>
      <w:lang w:val="x-none" w:eastAsia="zh-CN"/>
    </w:rPr>
  </w:style>
  <w:style w:type="character" w:customStyle="1" w:styleId="SubtitleChar">
    <w:name w:val="Subtitle Char"/>
    <w:link w:val="Subtitle"/>
    <w:uiPriority w:val="11"/>
    <w:qFormat/>
    <w:rsid w:val="00865788"/>
    <w:rPr>
      <w:rFonts w:ascii="Cambria" w:eastAsia="Times New Roman" w:hAnsi="Cambria" w:cs="Times New Roman"/>
      <w:i/>
      <w:iCs/>
      <w:color w:val="4F81BD"/>
      <w:spacing w:val="15"/>
      <w:sz w:val="24"/>
      <w:szCs w:val="24"/>
      <w:lang w:val="en-GB"/>
    </w:rPr>
  </w:style>
  <w:style w:type="character" w:styleId="UnresolvedMention">
    <w:name w:val="Unresolved Mention"/>
    <w:basedOn w:val="DefaultParagraphFont"/>
    <w:uiPriority w:val="99"/>
    <w:semiHidden/>
    <w:unhideWhenUsed/>
    <w:qFormat/>
    <w:rsid w:val="007F59B8"/>
    <w:rPr>
      <w:color w:val="605E5C"/>
      <w:shd w:val="clear" w:color="auto" w:fill="E1DFDD"/>
    </w:rPr>
  </w:style>
  <w:style w:type="character" w:styleId="FollowedHyperlink">
    <w:name w:val="FollowedHyperlink"/>
    <w:basedOn w:val="DefaultParagraphFont"/>
    <w:rsid w:val="00326A2E"/>
    <w:rPr>
      <w:color w:val="954F72" w:themeColor="followedHyperlink"/>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a2">
    <w:name w:val="a2"/>
    <w:basedOn w:val="Heading2"/>
    <w:next w:val="Normal"/>
    <w:qFormat/>
    <w:rsid w:val="00AA7246"/>
    <w:pPr>
      <w:numPr>
        <w:ilvl w:val="0"/>
        <w:numId w:val="0"/>
      </w:numPr>
      <w:tabs>
        <w:tab w:val="left" w:pos="500"/>
        <w:tab w:val="left" w:pos="720"/>
      </w:tabs>
      <w:suppressAutoHyphens/>
      <w:spacing w:before="270" w:after="240" w:line="270" w:lineRule="exact"/>
      <w:outlineLvl w:val="9"/>
    </w:pPr>
    <w:rPr>
      <w:rFonts w:ascii="Arial" w:eastAsia="MS Mincho" w:hAnsi="Arial"/>
      <w:iCs w:val="0"/>
      <w:sz w:val="24"/>
      <w:szCs w:val="24"/>
      <w:lang w:eastAsia="ja-JP"/>
    </w:rPr>
  </w:style>
  <w:style w:type="paragraph" w:customStyle="1" w:styleId="a3">
    <w:name w:val="a3"/>
    <w:basedOn w:val="Heading3"/>
    <w:next w:val="Normal"/>
    <w:qFormat/>
    <w:rsid w:val="00AA7246"/>
    <w:pPr>
      <w:numPr>
        <w:ilvl w:val="0"/>
        <w:numId w:val="0"/>
      </w:numPr>
      <w:tabs>
        <w:tab w:val="left" w:pos="640"/>
        <w:tab w:val="left" w:pos="880"/>
      </w:tabs>
      <w:suppressAutoHyphens/>
      <w:spacing w:before="60" w:after="240" w:line="250" w:lineRule="exact"/>
      <w:outlineLvl w:val="9"/>
    </w:pPr>
    <w:rPr>
      <w:rFonts w:ascii="Arial" w:eastAsia="MS Mincho" w:hAnsi="Arial"/>
      <w:sz w:val="22"/>
      <w:szCs w:val="22"/>
      <w:lang w:eastAsia="ja-JP"/>
    </w:rPr>
  </w:style>
  <w:style w:type="paragraph" w:customStyle="1" w:styleId="a4">
    <w:name w:val="a4"/>
    <w:basedOn w:val="Heading4"/>
    <w:next w:val="Normal"/>
    <w:qFormat/>
    <w:rsid w:val="00AA7246"/>
    <w:pPr>
      <w:numPr>
        <w:ilvl w:val="0"/>
        <w:numId w:val="0"/>
      </w:numPr>
      <w:tabs>
        <w:tab w:val="left" w:pos="880"/>
      </w:tabs>
      <w:suppressAutoHyphens/>
      <w:spacing w:before="60" w:after="240" w:line="230" w:lineRule="exact"/>
      <w:outlineLvl w:val="9"/>
    </w:pPr>
    <w:rPr>
      <w:rFonts w:ascii="Arial" w:eastAsia="MS Mincho" w:hAnsi="Arial" w:cs="Arial"/>
      <w:i w:val="0"/>
      <w:sz w:val="20"/>
      <w:szCs w:val="20"/>
      <w:lang w:eastAsia="ja-JP"/>
    </w:rPr>
  </w:style>
  <w:style w:type="paragraph" w:customStyle="1" w:styleId="a5">
    <w:name w:val="a5"/>
    <w:basedOn w:val="Heading5"/>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i w:val="0"/>
      <w:iCs w:val="0"/>
      <w:sz w:val="20"/>
      <w:szCs w:val="20"/>
      <w:lang w:eastAsia="ja-JP"/>
    </w:rPr>
  </w:style>
  <w:style w:type="paragraph" w:customStyle="1" w:styleId="a6">
    <w:name w:val="a6"/>
    <w:basedOn w:val="Heading6"/>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sz w:val="20"/>
      <w:szCs w:val="20"/>
      <w:lang w:eastAsia="ja-JP"/>
    </w:rPr>
  </w:style>
  <w:style w:type="paragraph" w:customStyle="1" w:styleId="ANNEX">
    <w:name w:val="ANNEX"/>
    <w:basedOn w:val="Normal"/>
    <w:next w:val="Normal"/>
    <w:qFormat/>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qFormat/>
    <w:rsid w:val="00AA7246"/>
    <w:pPr>
      <w:spacing w:after="240"/>
      <w:jc w:val="left"/>
      <w:outlineLvl w:val="9"/>
    </w:pPr>
    <w:rPr>
      <w:kern w:val="2"/>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paragraph" w:styleId="TOC4">
    <w:name w:val="toc 4"/>
    <w:basedOn w:val="Normal"/>
    <w:next w:val="Normal"/>
    <w:autoRedefine/>
    <w:semiHidden/>
    <w:rsid w:val="002B2FD2"/>
    <w:pPr>
      <w:ind w:left="720"/>
    </w:pPr>
  </w:style>
  <w:style w:type="paragraph" w:customStyle="1" w:styleId="TableContents">
    <w:name w:val="Table Contents"/>
    <w:basedOn w:val="Normal"/>
    <w:qFormat/>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qFormat/>
    <w:rsid w:val="00DB3208"/>
    <w:pPr>
      <w:jc w:val="center"/>
    </w:pPr>
    <w:rPr>
      <w:b/>
      <w:bCs/>
      <w:i/>
      <w:iCs/>
    </w:rPr>
  </w:style>
  <w:style w:type="paragraph" w:styleId="BalloonText">
    <w:name w:val="Balloon Text"/>
    <w:basedOn w:val="Normal"/>
    <w:link w:val="BalloonTextChar"/>
    <w:qFormat/>
    <w:rsid w:val="00CC1CE8"/>
    <w:rPr>
      <w:rFonts w:ascii="Lucida Grande" w:hAnsi="Lucida Grande"/>
      <w:sz w:val="18"/>
      <w:szCs w:val="18"/>
    </w:rPr>
  </w:style>
  <w:style w:type="paragraph" w:styleId="DocumentMap">
    <w:name w:val="Document Map"/>
    <w:basedOn w:val="Normal"/>
    <w:link w:val="DocumentMapChar"/>
    <w:qFormat/>
    <w:rsid w:val="00CC1CE8"/>
    <w:rPr>
      <w:rFonts w:ascii="Lucida Grande" w:hAnsi="Lucida Grande"/>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paragraph" w:styleId="CommentText">
    <w:name w:val="annotation text"/>
    <w:basedOn w:val="Normal"/>
    <w:link w:val="CommentTextChar"/>
    <w:qFormat/>
    <w:rsid w:val="00CC1CE8"/>
    <w:rPr>
      <w:sz w:val="20"/>
      <w:szCs w:val="20"/>
    </w:rPr>
  </w:style>
  <w:style w:type="paragraph" w:styleId="CommentSubject">
    <w:name w:val="annotation subject"/>
    <w:basedOn w:val="CommentText"/>
    <w:next w:val="CommentText"/>
    <w:link w:val="CommentSubjectChar"/>
    <w:qFormat/>
    <w:rsid w:val="00CC1CE8"/>
    <w:rPr>
      <w:b/>
      <w:bCs/>
    </w:rPr>
  </w:style>
  <w:style w:type="paragraph" w:customStyle="1" w:styleId="western">
    <w:name w:val="western"/>
    <w:basedOn w:val="Normal"/>
    <w:qFormat/>
    <w:rsid w:val="00CC1CE8"/>
    <w:rPr>
      <w:rFonts w:eastAsia="Times New Roman"/>
      <w:lang w:val="it-IT" w:eastAsia="it-IT"/>
    </w:rPr>
  </w:style>
  <w:style w:type="paragraph" w:styleId="NormalWeb">
    <w:name w:val="Normal (Web)"/>
    <w:basedOn w:val="Normal"/>
    <w:uiPriority w:val="99"/>
    <w:unhideWhenUsed/>
    <w:qFormat/>
    <w:rsid w:val="001C2B74"/>
    <w:pPr>
      <w:spacing w:beforeAutospacing="1" w:afterAutospacing="1"/>
    </w:pPr>
    <w:rPr>
      <w:rFonts w:eastAsia="Times New Roman"/>
      <w:lang w:eastAsia="zh-TW"/>
    </w:rPr>
  </w:style>
  <w:style w:type="paragraph" w:styleId="IndexHeading">
    <w:name w:val="index heading"/>
    <w:basedOn w:val="Heading"/>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spacing w:after="200" w:line="276" w:lineRule="auto"/>
      <w:textAlignment w:val="baseline"/>
    </w:pPr>
    <w:rPr>
      <w:rFonts w:ascii="Cambria" w:eastAsia="Times New Roman" w:hAnsi="Cambria"/>
      <w:i/>
      <w:iCs/>
      <w:color w:val="4F81BD"/>
      <w:spacing w:val="15"/>
      <w:lang w:eastAsia="en-US"/>
    </w:rPr>
  </w:style>
  <w:style w:type="paragraph" w:customStyle="1" w:styleId="box">
    <w:name w:val="box"/>
    <w:basedOn w:val="Normal"/>
    <w:qFormat/>
    <w:rsid w:val="00951E3B"/>
    <w:pPr>
      <w:spacing w:before="120" w:after="120"/>
      <w:jc w:val="both"/>
    </w:pPr>
    <w:rPr>
      <w:rFonts w:eastAsia="MS Mincho"/>
      <w:sz w:val="32"/>
      <w:szCs w:val="20"/>
      <w:lang w:eastAsia="en-GB"/>
    </w:rPr>
  </w:style>
  <w:style w:type="paragraph" w:customStyle="1" w:styleId="TableHeader">
    <w:name w:val="Table Header"/>
    <w:basedOn w:val="Normal"/>
    <w:qFormat/>
    <w:rsid w:val="00C36503"/>
    <w:pPr>
      <w:widowControl w:val="0"/>
      <w:jc w:val="both"/>
      <w:textAlignment w:val="baseline"/>
    </w:pPr>
    <w:rPr>
      <w:rFonts w:eastAsia="Times New Roman"/>
      <w:bCs/>
    </w:rPr>
  </w:style>
  <w:style w:type="paragraph" w:customStyle="1" w:styleId="StandardName">
    <w:name w:val="Standard Name"/>
    <w:basedOn w:val="Normal"/>
    <w:qFormat/>
    <w:rsid w:val="00C36503"/>
    <w:pPr>
      <w:widowControl w:val="0"/>
      <w:jc w:val="both"/>
      <w:textAlignment w:val="baseline"/>
    </w:pPr>
    <w:rPr>
      <w:rFonts w:eastAsia="Times New Roman"/>
      <w:bCs/>
      <w:i/>
      <w:iCs/>
      <w:lang w:val="it-IT"/>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pai.community/standards/governance/" TargetMode="External"/><Relationship Id="rId18" Type="http://schemas.openxmlformats.org/officeDocument/2006/relationships/hyperlink" Target="https://mpai.community/standards/mpai-cav/" TargetMode="External"/><Relationship Id="rId26" Type="http://schemas.openxmlformats.org/officeDocument/2006/relationships/hyperlink" Target="https://www.linkedin.com/groups/13949076/" TargetMode="External"/><Relationship Id="rId3" Type="http://schemas.openxmlformats.org/officeDocument/2006/relationships/styles" Target="styles.xml"/><Relationship Id="rId21" Type="http://schemas.openxmlformats.org/officeDocument/2006/relationships/hyperlink" Target="https://mpai.community/standards/mpai-gsa/" TargetMode="External"/><Relationship Id="rId7" Type="http://schemas.openxmlformats.org/officeDocument/2006/relationships/oleObject" Target="embeddings/oleObject1.bin"/><Relationship Id="rId12" Type="http://schemas.openxmlformats.org/officeDocument/2006/relationships/hyperlink" Target="https://mpai.community/standards/mpai-cui/" TargetMode="External"/><Relationship Id="rId17" Type="http://schemas.openxmlformats.org/officeDocument/2006/relationships/hyperlink" Target="https://mpai.community/standards/mpai-eev/" TargetMode="External"/><Relationship Id="rId25" Type="http://schemas.openxmlformats.org/officeDocument/2006/relationships/hyperlink" Target="mailto:secretariat@mpai.commun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pai.community/standards/mpai-evc/" TargetMode="External"/><Relationship Id="rId20" Type="http://schemas.openxmlformats.org/officeDocument/2006/relationships/hyperlink" Target="https://mpai.community/standards/mpai-nnw/" TargetMode="External"/><Relationship Id="rId29" Type="http://schemas.openxmlformats.org/officeDocument/2006/relationships/hyperlink" Target="https://www.instagram.com/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ai.community/standards/mpai-cae/" TargetMode="External"/><Relationship Id="rId24" Type="http://schemas.openxmlformats.org/officeDocument/2006/relationships/hyperlink" Target="https://mpai.commun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ai.community/standards/mpai-spg/" TargetMode="External"/><Relationship Id="rId23" Type="http://schemas.openxmlformats.org/officeDocument/2006/relationships/hyperlink" Target="https://mpai.community/standards/mpai-osd/" TargetMode="External"/><Relationship Id="rId28" Type="http://schemas.openxmlformats.org/officeDocument/2006/relationships/hyperlink" Target="https://www.facebook.com/mpaicommunity" TargetMode="External"/><Relationship Id="rId10" Type="http://schemas.openxmlformats.org/officeDocument/2006/relationships/hyperlink" Target="https://mpai.community/standards/mpai-aif/" TargetMode="External"/><Relationship Id="rId19" Type="http://schemas.openxmlformats.org/officeDocument/2006/relationships/hyperlink" Target="https://mpai.community/standards/mpai-ara/" TargetMode="External"/><Relationship Id="rId31" Type="http://schemas.openxmlformats.org/officeDocument/2006/relationships/hyperlink" Target="https://mpai.community/how-to-join/join/" TargetMode="External"/><Relationship Id="rId4" Type="http://schemas.openxmlformats.org/officeDocument/2006/relationships/settings" Target="settings.xml"/><Relationship Id="rId9" Type="http://schemas.openxmlformats.org/officeDocument/2006/relationships/hyperlink" Target="https://mpai.community/how-to-join/join/" TargetMode="External"/><Relationship Id="rId14" Type="http://schemas.openxmlformats.org/officeDocument/2006/relationships/hyperlink" Target="https://mpai.community/standards/mpai-mmc/" TargetMode="External"/><Relationship Id="rId22" Type="http://schemas.openxmlformats.org/officeDocument/2006/relationships/hyperlink" Target="http://mcs.mpai.community/" TargetMode="External"/><Relationship Id="rId27" Type="http://schemas.openxmlformats.org/officeDocument/2006/relationships/hyperlink" Target="https://twitter.com/mpaicommunity" TargetMode="External"/><Relationship Id="rId30" Type="http://schemas.openxmlformats.org/officeDocument/2006/relationships/hyperlink" Target="https://www.youtube.com/c/MPAIstandards" TargetMode="External"/><Relationship Id="rId8" Type="http://schemas.openxmlformats.org/officeDocument/2006/relationships/hyperlink" Target="https://mpai.community/about/the-mpai-pat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1126</Words>
  <Characters>6423</Characters>
  <Application>Microsoft Office Word</Application>
  <DocSecurity>0</DocSecurity>
  <Lines>53</Lines>
  <Paragraphs>15</Paragraphs>
  <ScaleCrop>false</ScaleCrop>
  <Company>CEDEO</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Leonardo Chiariglione</cp:lastModifiedBy>
  <cp:revision>13</cp:revision>
  <dcterms:created xsi:type="dcterms:W3CDTF">2022-04-24T10:19:00Z</dcterms:created>
  <dcterms:modified xsi:type="dcterms:W3CDTF">2022-05-18T17:10:00Z</dcterms:modified>
  <dc:language>it-IT</dc:language>
</cp:coreProperties>
</file>