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ayout w:type="fixed"/>
        <w:tblLook w:val="04A0" w:firstRow="1" w:lastRow="0" w:firstColumn="1" w:lastColumn="0" w:noHBand="0" w:noVBand="1"/>
      </w:tblPr>
      <w:tblGrid>
        <w:gridCol w:w="3358"/>
        <w:gridCol w:w="5997"/>
      </w:tblGrid>
      <w:tr w:rsidR="00010BD2" w14:paraId="5CB74FD7" w14:textId="77777777" w:rsidTr="0019539A">
        <w:tc>
          <w:tcPr>
            <w:tcW w:w="3358" w:type="dxa"/>
            <w:tcBorders>
              <w:top w:val="nil"/>
              <w:left w:val="nil"/>
              <w:bottom w:val="nil"/>
              <w:right w:val="nil"/>
            </w:tcBorders>
          </w:tcPr>
          <w:p w14:paraId="5CB74FD3" w14:textId="77777777" w:rsidR="00010BD2" w:rsidRDefault="0019539A">
            <w:r>
              <w:pict w14:anchorId="5CB75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9" type="#_x0000_t75" style="position:absolute;margin-left:0;margin-top:0;width:50pt;height:50pt;z-index:251657728;visibility:hidden">
                  <o:lock v:ext="edit" selection="t"/>
                </v:shape>
              </w:pict>
            </w:r>
            <w:r w:rsidR="00B82DB6">
              <w:object w:dxaOrig="11940" w:dyaOrig="4680" w14:anchorId="5CB751A8">
                <v:shape id="ole_rId2" o:spid="_x0000_i1025" type="#_x0000_t75" style="width:151.2pt;height:58.8pt;visibility:visible;mso-wrap-distance-right:0" o:ole="">
                  <v:imagedata r:id="rId6" o:title=""/>
                </v:shape>
                <o:OLEObject Type="Embed" ProgID="PBrush" ShapeID="ole_rId2" DrawAspect="Content" ObjectID="_1714384042" r:id="rId7"/>
              </w:object>
            </w:r>
          </w:p>
        </w:tc>
        <w:tc>
          <w:tcPr>
            <w:tcW w:w="5997" w:type="dxa"/>
            <w:tcBorders>
              <w:top w:val="nil"/>
              <w:left w:val="nil"/>
              <w:bottom w:val="nil"/>
              <w:right w:val="nil"/>
            </w:tcBorders>
            <w:vAlign w:val="center"/>
          </w:tcPr>
          <w:p w14:paraId="5CB74FD4" w14:textId="77777777" w:rsidR="00010BD2" w:rsidRDefault="00B82DB6">
            <w:pPr>
              <w:jc w:val="center"/>
              <w:rPr>
                <w:sz w:val="32"/>
                <w:szCs w:val="32"/>
              </w:rPr>
            </w:pPr>
            <w:r>
              <w:rPr>
                <w:sz w:val="32"/>
                <w:szCs w:val="32"/>
              </w:rPr>
              <w:t xml:space="preserve">Moving Picture, Audio and Data Coding </w:t>
            </w:r>
          </w:p>
          <w:p w14:paraId="5CB74FD5" w14:textId="77777777" w:rsidR="00010BD2" w:rsidRDefault="00B82DB6">
            <w:pPr>
              <w:jc w:val="center"/>
              <w:rPr>
                <w:sz w:val="32"/>
                <w:szCs w:val="32"/>
              </w:rPr>
            </w:pPr>
            <w:r>
              <w:rPr>
                <w:sz w:val="32"/>
                <w:szCs w:val="32"/>
              </w:rPr>
              <w:t>by Artificial Intelligence</w:t>
            </w:r>
          </w:p>
          <w:p w14:paraId="5CB74FD6" w14:textId="77777777" w:rsidR="00010BD2" w:rsidRDefault="00B82DB6">
            <w:pPr>
              <w:jc w:val="center"/>
              <w:rPr>
                <w:sz w:val="32"/>
                <w:szCs w:val="32"/>
              </w:rPr>
            </w:pPr>
            <w:r>
              <w:rPr>
                <w:sz w:val="32"/>
                <w:szCs w:val="32"/>
              </w:rPr>
              <w:t>www.mpai.community</w:t>
            </w:r>
          </w:p>
        </w:tc>
      </w:tr>
    </w:tbl>
    <w:p w14:paraId="5CB74FD8" w14:textId="77777777" w:rsidR="00010BD2" w:rsidRDefault="00010BD2"/>
    <w:tbl>
      <w:tblPr>
        <w:tblStyle w:val="TableGrid"/>
        <w:tblW w:w="9355" w:type="dxa"/>
        <w:tblLayout w:type="fixed"/>
        <w:tblLook w:val="04A0" w:firstRow="1" w:lastRow="0" w:firstColumn="1" w:lastColumn="0" w:noHBand="0" w:noVBand="1"/>
      </w:tblPr>
      <w:tblGrid>
        <w:gridCol w:w="957"/>
        <w:gridCol w:w="8398"/>
      </w:tblGrid>
      <w:tr w:rsidR="00E65E2B" w14:paraId="0E2486F1" w14:textId="77777777" w:rsidTr="00E65E2B">
        <w:tc>
          <w:tcPr>
            <w:tcW w:w="957" w:type="dxa"/>
            <w:tcBorders>
              <w:top w:val="nil"/>
              <w:left w:val="nil"/>
              <w:bottom w:val="nil"/>
              <w:right w:val="nil"/>
            </w:tcBorders>
          </w:tcPr>
          <w:p w14:paraId="1F7286DF" w14:textId="73E989A7" w:rsidR="00E65E2B" w:rsidRDefault="00E65E2B" w:rsidP="00E65E2B">
            <w:pPr>
              <w:jc w:val="right"/>
              <w:rPr>
                <w:b/>
                <w:bCs/>
              </w:rPr>
            </w:pPr>
          </w:p>
        </w:tc>
        <w:tc>
          <w:tcPr>
            <w:tcW w:w="8398" w:type="dxa"/>
            <w:tcBorders>
              <w:top w:val="nil"/>
              <w:left w:val="nil"/>
              <w:bottom w:val="nil"/>
              <w:right w:val="nil"/>
            </w:tcBorders>
          </w:tcPr>
          <w:p w14:paraId="07ACE046" w14:textId="0895BFBE" w:rsidR="00E65E2B" w:rsidRDefault="00E65E2B" w:rsidP="00E65E2B">
            <w:pPr>
              <w:jc w:val="center"/>
            </w:pPr>
            <w:r w:rsidRPr="00AB41EB">
              <w:rPr>
                <w:b/>
                <w:bCs/>
                <w:sz w:val="32"/>
                <w:szCs w:val="32"/>
              </w:rPr>
              <w:t>Public document</w:t>
            </w:r>
          </w:p>
        </w:tc>
      </w:tr>
      <w:tr w:rsidR="00010BD2" w14:paraId="5CB74FDB" w14:textId="77777777" w:rsidTr="00E65E2B">
        <w:tc>
          <w:tcPr>
            <w:tcW w:w="957" w:type="dxa"/>
            <w:tcBorders>
              <w:top w:val="nil"/>
              <w:left w:val="nil"/>
              <w:bottom w:val="nil"/>
              <w:right w:val="nil"/>
            </w:tcBorders>
          </w:tcPr>
          <w:p w14:paraId="5CB74FD9" w14:textId="441BB47B" w:rsidR="00010BD2" w:rsidRDefault="000917E6">
            <w:pPr>
              <w:jc w:val="right"/>
              <w:rPr>
                <w:b/>
                <w:bCs/>
              </w:rPr>
            </w:pPr>
            <w:r>
              <w:rPr>
                <w:b/>
                <w:bCs/>
              </w:rPr>
              <w:t>N683</w:t>
            </w:r>
          </w:p>
        </w:tc>
        <w:tc>
          <w:tcPr>
            <w:tcW w:w="8398" w:type="dxa"/>
            <w:tcBorders>
              <w:top w:val="nil"/>
              <w:left w:val="nil"/>
              <w:bottom w:val="nil"/>
              <w:right w:val="nil"/>
            </w:tcBorders>
          </w:tcPr>
          <w:p w14:paraId="5CB74FDA" w14:textId="3154DED0" w:rsidR="00010BD2" w:rsidRDefault="00B82DB6">
            <w:pPr>
              <w:jc w:val="right"/>
            </w:pPr>
            <w:r>
              <w:t>2022/05/</w:t>
            </w:r>
            <w:r w:rsidR="000917E6">
              <w:t>18</w:t>
            </w:r>
          </w:p>
        </w:tc>
      </w:tr>
      <w:tr w:rsidR="00010BD2" w14:paraId="5CB74FDE" w14:textId="77777777" w:rsidTr="00E65E2B">
        <w:tc>
          <w:tcPr>
            <w:tcW w:w="957" w:type="dxa"/>
            <w:tcBorders>
              <w:top w:val="nil"/>
              <w:left w:val="nil"/>
              <w:bottom w:val="nil"/>
              <w:right w:val="nil"/>
            </w:tcBorders>
          </w:tcPr>
          <w:p w14:paraId="5CB74FDC" w14:textId="77777777" w:rsidR="00010BD2" w:rsidRDefault="00B82DB6">
            <w:pPr>
              <w:rPr>
                <w:b/>
                <w:bCs/>
              </w:rPr>
            </w:pPr>
            <w:r>
              <w:rPr>
                <w:b/>
                <w:bCs/>
              </w:rPr>
              <w:t>Source</w:t>
            </w:r>
          </w:p>
        </w:tc>
        <w:tc>
          <w:tcPr>
            <w:tcW w:w="8398" w:type="dxa"/>
            <w:tcBorders>
              <w:top w:val="nil"/>
              <w:left w:val="nil"/>
              <w:bottom w:val="nil"/>
              <w:right w:val="nil"/>
            </w:tcBorders>
          </w:tcPr>
          <w:p w14:paraId="5CB74FDD" w14:textId="77777777" w:rsidR="00010BD2" w:rsidRDefault="00B82DB6">
            <w:r>
              <w:t>AIF-DC</w:t>
            </w:r>
          </w:p>
        </w:tc>
      </w:tr>
      <w:tr w:rsidR="00010BD2" w14:paraId="5CB74FE1" w14:textId="77777777" w:rsidTr="00E65E2B">
        <w:tc>
          <w:tcPr>
            <w:tcW w:w="957" w:type="dxa"/>
            <w:tcBorders>
              <w:top w:val="nil"/>
              <w:left w:val="nil"/>
              <w:bottom w:val="nil"/>
              <w:right w:val="nil"/>
            </w:tcBorders>
          </w:tcPr>
          <w:p w14:paraId="5CB74FDF" w14:textId="77777777" w:rsidR="00010BD2" w:rsidRDefault="00B82DB6">
            <w:pPr>
              <w:rPr>
                <w:b/>
                <w:bCs/>
              </w:rPr>
            </w:pPr>
            <w:r>
              <w:rPr>
                <w:b/>
                <w:bCs/>
              </w:rPr>
              <w:t>Title</w:t>
            </w:r>
          </w:p>
        </w:tc>
        <w:tc>
          <w:tcPr>
            <w:tcW w:w="8398" w:type="dxa"/>
            <w:tcBorders>
              <w:top w:val="nil"/>
              <w:left w:val="nil"/>
              <w:bottom w:val="nil"/>
              <w:right w:val="nil"/>
            </w:tcBorders>
          </w:tcPr>
          <w:p w14:paraId="5CB74FE0" w14:textId="3F87FDF8" w:rsidR="00010BD2" w:rsidRDefault="00B82DB6">
            <w:r>
              <w:t>MPAI-AIF Use Cases and Functional Requirements WD1.</w:t>
            </w:r>
            <w:r w:rsidR="000917E6">
              <w:t>2</w:t>
            </w:r>
          </w:p>
        </w:tc>
      </w:tr>
      <w:tr w:rsidR="00010BD2" w14:paraId="5CB74FE4" w14:textId="77777777" w:rsidTr="00E65E2B">
        <w:tc>
          <w:tcPr>
            <w:tcW w:w="957" w:type="dxa"/>
            <w:tcBorders>
              <w:top w:val="nil"/>
              <w:left w:val="nil"/>
              <w:bottom w:val="nil"/>
              <w:right w:val="nil"/>
            </w:tcBorders>
          </w:tcPr>
          <w:p w14:paraId="5CB74FE2" w14:textId="77777777" w:rsidR="00010BD2" w:rsidRDefault="00B82DB6">
            <w:pPr>
              <w:rPr>
                <w:b/>
                <w:bCs/>
              </w:rPr>
            </w:pPr>
            <w:r>
              <w:rPr>
                <w:b/>
                <w:bCs/>
              </w:rPr>
              <w:t>Target</w:t>
            </w:r>
          </w:p>
        </w:tc>
        <w:tc>
          <w:tcPr>
            <w:tcW w:w="8398" w:type="dxa"/>
            <w:tcBorders>
              <w:top w:val="nil"/>
              <w:left w:val="nil"/>
              <w:bottom w:val="nil"/>
              <w:right w:val="nil"/>
            </w:tcBorders>
          </w:tcPr>
          <w:p w14:paraId="5CB74FE3" w14:textId="77777777" w:rsidR="00010BD2" w:rsidRDefault="00B82DB6">
            <w:r>
              <w:t>MPAI Members</w:t>
            </w:r>
          </w:p>
        </w:tc>
      </w:tr>
    </w:tbl>
    <w:sdt>
      <w:sdtPr>
        <w:id w:val="325370671"/>
        <w:docPartObj>
          <w:docPartGallery w:val="Table of Contents"/>
          <w:docPartUnique/>
        </w:docPartObj>
      </w:sdtPr>
      <w:sdtEndPr/>
      <w:sdtContent>
        <w:p w14:paraId="5CB74FE5" w14:textId="77777777" w:rsidR="00010BD2" w:rsidRDefault="00010BD2">
          <w:pPr>
            <w:jc w:val="both"/>
            <w:rPr>
              <w:b/>
              <w:bCs/>
            </w:rPr>
          </w:pPr>
        </w:p>
        <w:p w14:paraId="5CB74FE6" w14:textId="77777777" w:rsidR="00010BD2" w:rsidRDefault="00B82DB6">
          <w:pPr>
            <w:pStyle w:val="TOC1"/>
            <w:tabs>
              <w:tab w:val="left" w:pos="480"/>
              <w:tab w:val="right" w:leader="dot" w:pos="9345"/>
            </w:tabs>
            <w:rPr>
              <w:rFonts w:asciiTheme="minorHAnsi" w:eastAsiaTheme="minorEastAsia" w:hAnsiTheme="minorHAnsi" w:cstheme="minorBidi"/>
              <w:sz w:val="22"/>
              <w:szCs w:val="22"/>
              <w:lang w:eastAsia="en-GB"/>
            </w:rPr>
          </w:pPr>
          <w:r>
            <w:fldChar w:fldCharType="begin"/>
          </w:r>
          <w:r>
            <w:rPr>
              <w:rStyle w:val="IndexLink"/>
              <w:webHidden/>
            </w:rPr>
            <w:instrText>TOC \z \o "1-3" \u \h</w:instrText>
          </w:r>
          <w:r>
            <w:rPr>
              <w:rStyle w:val="IndexLink"/>
            </w:rPr>
            <w:fldChar w:fldCharType="separate"/>
          </w:r>
          <w:hyperlink w:anchor="_Toc101799298">
            <w:r>
              <w:rPr>
                <w:rStyle w:val="IndexLink"/>
                <w:webHidden/>
              </w:rPr>
              <w:t>1</w:t>
            </w:r>
            <w:r>
              <w:rPr>
                <w:rStyle w:val="IndexLink"/>
                <w:rFonts w:asciiTheme="minorHAnsi" w:eastAsiaTheme="minorEastAsia" w:hAnsiTheme="minorHAnsi" w:cstheme="minorBidi"/>
                <w:sz w:val="22"/>
                <w:szCs w:val="22"/>
                <w:lang w:eastAsia="en-GB"/>
              </w:rPr>
              <w:tab/>
            </w:r>
            <w:r>
              <w:rPr>
                <w:rStyle w:val="IndexLink"/>
              </w:rPr>
              <w:t>Introduction</w:t>
            </w:r>
            <w:r>
              <w:rPr>
                <w:webHidden/>
              </w:rPr>
              <w:fldChar w:fldCharType="begin"/>
            </w:r>
            <w:r>
              <w:rPr>
                <w:webHidden/>
              </w:rPr>
              <w:instrText>PAGEREF _Toc101799298 \h</w:instrText>
            </w:r>
            <w:r>
              <w:rPr>
                <w:webHidden/>
              </w:rPr>
            </w:r>
            <w:r>
              <w:rPr>
                <w:webHidden/>
              </w:rPr>
              <w:fldChar w:fldCharType="separate"/>
            </w:r>
            <w:r>
              <w:rPr>
                <w:rStyle w:val="IndexLink"/>
              </w:rPr>
              <w:tab/>
              <w:t>1</w:t>
            </w:r>
            <w:r>
              <w:rPr>
                <w:webHidden/>
              </w:rPr>
              <w:fldChar w:fldCharType="end"/>
            </w:r>
          </w:hyperlink>
        </w:p>
        <w:p w14:paraId="5CB74FE7" w14:textId="77777777" w:rsidR="00010BD2" w:rsidRDefault="0019539A">
          <w:pPr>
            <w:pStyle w:val="TOC1"/>
            <w:tabs>
              <w:tab w:val="left" w:pos="480"/>
              <w:tab w:val="right" w:leader="dot" w:pos="9345"/>
            </w:tabs>
            <w:rPr>
              <w:rFonts w:asciiTheme="minorHAnsi" w:eastAsiaTheme="minorEastAsia" w:hAnsiTheme="minorHAnsi" w:cstheme="minorBidi"/>
              <w:sz w:val="22"/>
              <w:szCs w:val="22"/>
              <w:lang w:eastAsia="en-GB"/>
            </w:rPr>
          </w:pPr>
          <w:hyperlink w:anchor="_Toc101799299">
            <w:r w:rsidR="00B82DB6">
              <w:rPr>
                <w:rStyle w:val="IndexLink"/>
                <w:webHidden/>
              </w:rPr>
              <w:t>2</w:t>
            </w:r>
            <w:r w:rsidR="00B82DB6">
              <w:rPr>
                <w:rStyle w:val="IndexLink"/>
                <w:rFonts w:asciiTheme="minorHAnsi" w:eastAsiaTheme="minorEastAsia" w:hAnsiTheme="minorHAnsi" w:cstheme="minorBidi"/>
                <w:sz w:val="22"/>
                <w:szCs w:val="22"/>
                <w:lang w:eastAsia="en-GB"/>
              </w:rPr>
              <w:tab/>
            </w:r>
            <w:r w:rsidR="00B82DB6">
              <w:rPr>
                <w:rStyle w:val="IndexLink"/>
              </w:rPr>
              <w:t>Use Cases</w:t>
            </w:r>
            <w:r w:rsidR="00B82DB6">
              <w:rPr>
                <w:webHidden/>
              </w:rPr>
              <w:fldChar w:fldCharType="begin"/>
            </w:r>
            <w:r w:rsidR="00B82DB6">
              <w:rPr>
                <w:webHidden/>
              </w:rPr>
              <w:instrText>PAGEREF _Toc101799299 \h</w:instrText>
            </w:r>
            <w:r w:rsidR="00B82DB6">
              <w:rPr>
                <w:webHidden/>
              </w:rPr>
            </w:r>
            <w:r w:rsidR="00B82DB6">
              <w:rPr>
                <w:webHidden/>
              </w:rPr>
              <w:fldChar w:fldCharType="separate"/>
            </w:r>
            <w:r w:rsidR="00B82DB6">
              <w:rPr>
                <w:rStyle w:val="IndexLink"/>
              </w:rPr>
              <w:tab/>
              <w:t>2</w:t>
            </w:r>
            <w:r w:rsidR="00B82DB6">
              <w:rPr>
                <w:webHidden/>
              </w:rPr>
              <w:fldChar w:fldCharType="end"/>
            </w:r>
          </w:hyperlink>
        </w:p>
        <w:p w14:paraId="5CB74FE8" w14:textId="77777777" w:rsidR="00010BD2" w:rsidRDefault="0019539A">
          <w:pPr>
            <w:pStyle w:val="TOC1"/>
            <w:tabs>
              <w:tab w:val="left" w:pos="480"/>
              <w:tab w:val="right" w:leader="dot" w:pos="9345"/>
            </w:tabs>
            <w:rPr>
              <w:rFonts w:asciiTheme="minorHAnsi" w:eastAsiaTheme="minorEastAsia" w:hAnsiTheme="minorHAnsi" w:cstheme="minorBidi"/>
              <w:sz w:val="22"/>
              <w:szCs w:val="22"/>
              <w:lang w:eastAsia="en-GB"/>
            </w:rPr>
          </w:pPr>
          <w:hyperlink w:anchor="_Toc101799300">
            <w:r w:rsidR="00B82DB6">
              <w:rPr>
                <w:rStyle w:val="IndexLink"/>
                <w:webHidden/>
              </w:rPr>
              <w:t>3</w:t>
            </w:r>
            <w:r w:rsidR="00B82DB6">
              <w:rPr>
                <w:rStyle w:val="IndexLink"/>
                <w:rFonts w:asciiTheme="minorHAnsi" w:eastAsiaTheme="minorEastAsia" w:hAnsiTheme="minorHAnsi" w:cstheme="minorBidi"/>
                <w:sz w:val="22"/>
                <w:szCs w:val="22"/>
                <w:lang w:eastAsia="en-GB"/>
              </w:rPr>
              <w:tab/>
            </w:r>
            <w:r w:rsidR="00B82DB6">
              <w:rPr>
                <w:rStyle w:val="IndexLink"/>
              </w:rPr>
              <w:t>Terms specific to MPAI-AIF V2</w:t>
            </w:r>
            <w:r w:rsidR="00B82DB6">
              <w:rPr>
                <w:webHidden/>
              </w:rPr>
              <w:fldChar w:fldCharType="begin"/>
            </w:r>
            <w:r w:rsidR="00B82DB6">
              <w:rPr>
                <w:webHidden/>
              </w:rPr>
              <w:instrText>PAGEREF _Toc101799300 \h</w:instrText>
            </w:r>
            <w:r w:rsidR="00B82DB6">
              <w:rPr>
                <w:webHidden/>
              </w:rPr>
            </w:r>
            <w:r w:rsidR="00B82DB6">
              <w:rPr>
                <w:webHidden/>
              </w:rPr>
              <w:fldChar w:fldCharType="separate"/>
            </w:r>
            <w:r w:rsidR="00B82DB6">
              <w:rPr>
                <w:rStyle w:val="IndexLink"/>
              </w:rPr>
              <w:tab/>
              <w:t>2</w:t>
            </w:r>
            <w:r w:rsidR="00B82DB6">
              <w:rPr>
                <w:webHidden/>
              </w:rPr>
              <w:fldChar w:fldCharType="end"/>
            </w:r>
          </w:hyperlink>
        </w:p>
        <w:p w14:paraId="5CB74FE9" w14:textId="77777777" w:rsidR="00010BD2" w:rsidRDefault="0019539A">
          <w:pPr>
            <w:pStyle w:val="TOC1"/>
            <w:tabs>
              <w:tab w:val="left" w:pos="480"/>
              <w:tab w:val="right" w:leader="dot" w:pos="9345"/>
            </w:tabs>
            <w:rPr>
              <w:rFonts w:asciiTheme="minorHAnsi" w:eastAsiaTheme="minorEastAsia" w:hAnsiTheme="minorHAnsi" w:cstheme="minorBidi"/>
              <w:sz w:val="22"/>
              <w:szCs w:val="22"/>
              <w:lang w:eastAsia="en-GB"/>
            </w:rPr>
          </w:pPr>
          <w:hyperlink w:anchor="_Toc101799301">
            <w:r w:rsidR="00B82DB6">
              <w:rPr>
                <w:rStyle w:val="IndexLink"/>
                <w:webHidden/>
              </w:rPr>
              <w:t>4</w:t>
            </w:r>
            <w:r w:rsidR="00B82DB6">
              <w:rPr>
                <w:rStyle w:val="IndexLink"/>
                <w:rFonts w:asciiTheme="minorHAnsi" w:eastAsiaTheme="minorEastAsia" w:hAnsiTheme="minorHAnsi" w:cstheme="minorBidi"/>
                <w:sz w:val="22"/>
                <w:szCs w:val="22"/>
                <w:lang w:eastAsia="en-GB"/>
              </w:rPr>
              <w:tab/>
            </w:r>
            <w:r w:rsidR="00B82DB6">
              <w:rPr>
                <w:rStyle w:val="IndexLink"/>
              </w:rPr>
              <w:t>Functional Requirements</w:t>
            </w:r>
            <w:r w:rsidR="00B82DB6">
              <w:rPr>
                <w:webHidden/>
              </w:rPr>
              <w:fldChar w:fldCharType="begin"/>
            </w:r>
            <w:r w:rsidR="00B82DB6">
              <w:rPr>
                <w:webHidden/>
              </w:rPr>
              <w:instrText>PAGEREF _Toc101799301 \h</w:instrText>
            </w:r>
            <w:r w:rsidR="00B82DB6">
              <w:rPr>
                <w:webHidden/>
              </w:rPr>
            </w:r>
            <w:r w:rsidR="00B82DB6">
              <w:rPr>
                <w:webHidden/>
              </w:rPr>
              <w:fldChar w:fldCharType="separate"/>
            </w:r>
            <w:r w:rsidR="00B82DB6">
              <w:rPr>
                <w:rStyle w:val="IndexLink"/>
              </w:rPr>
              <w:tab/>
              <w:t>3</w:t>
            </w:r>
            <w:r w:rsidR="00B82DB6">
              <w:rPr>
                <w:webHidden/>
              </w:rPr>
              <w:fldChar w:fldCharType="end"/>
            </w:r>
          </w:hyperlink>
        </w:p>
        <w:p w14:paraId="5CB74FEA" w14:textId="77777777" w:rsidR="00010BD2" w:rsidRDefault="0019539A">
          <w:pPr>
            <w:pStyle w:val="TOC1"/>
            <w:tabs>
              <w:tab w:val="left" w:pos="480"/>
              <w:tab w:val="right" w:leader="dot" w:pos="9345"/>
            </w:tabs>
            <w:rPr>
              <w:rFonts w:asciiTheme="minorHAnsi" w:eastAsiaTheme="minorEastAsia" w:hAnsiTheme="minorHAnsi" w:cstheme="minorBidi"/>
              <w:sz w:val="22"/>
              <w:szCs w:val="22"/>
              <w:lang w:eastAsia="en-GB"/>
            </w:rPr>
          </w:pPr>
          <w:hyperlink w:anchor="_Toc101799302">
            <w:r w:rsidR="00B82DB6">
              <w:rPr>
                <w:rStyle w:val="IndexLink"/>
                <w:webHidden/>
              </w:rPr>
              <w:t>5</w:t>
            </w:r>
            <w:r w:rsidR="00B82DB6">
              <w:rPr>
                <w:rStyle w:val="IndexLink"/>
                <w:rFonts w:asciiTheme="minorHAnsi" w:eastAsiaTheme="minorEastAsia" w:hAnsiTheme="minorHAnsi" w:cstheme="minorBidi"/>
                <w:sz w:val="22"/>
                <w:szCs w:val="22"/>
                <w:lang w:eastAsia="en-GB"/>
              </w:rPr>
              <w:tab/>
            </w:r>
            <w:r w:rsidR="00B82DB6">
              <w:rPr>
                <w:rStyle w:val="IndexLink"/>
              </w:rPr>
              <w:t>References</w:t>
            </w:r>
            <w:r w:rsidR="00B82DB6">
              <w:rPr>
                <w:webHidden/>
              </w:rPr>
              <w:fldChar w:fldCharType="begin"/>
            </w:r>
            <w:r w:rsidR="00B82DB6">
              <w:rPr>
                <w:webHidden/>
              </w:rPr>
              <w:instrText>PAGEREF _Toc101799302 \h</w:instrText>
            </w:r>
            <w:r w:rsidR="00B82DB6">
              <w:rPr>
                <w:webHidden/>
              </w:rPr>
            </w:r>
            <w:r w:rsidR="00B82DB6">
              <w:rPr>
                <w:webHidden/>
              </w:rPr>
              <w:fldChar w:fldCharType="separate"/>
            </w:r>
            <w:r w:rsidR="00B82DB6">
              <w:rPr>
                <w:rStyle w:val="IndexLink"/>
              </w:rPr>
              <w:tab/>
              <w:t>4</w:t>
            </w:r>
            <w:r w:rsidR="00B82DB6">
              <w:rPr>
                <w:webHidden/>
              </w:rPr>
              <w:fldChar w:fldCharType="end"/>
            </w:r>
          </w:hyperlink>
        </w:p>
        <w:p w14:paraId="5CB74FEB" w14:textId="77777777" w:rsidR="00010BD2" w:rsidRDefault="0019539A">
          <w:pPr>
            <w:pStyle w:val="TOC2"/>
            <w:tabs>
              <w:tab w:val="left" w:pos="880"/>
              <w:tab w:val="right" w:leader="dot" w:pos="9345"/>
            </w:tabs>
            <w:rPr>
              <w:rFonts w:asciiTheme="minorHAnsi" w:eastAsiaTheme="minorEastAsia" w:hAnsiTheme="minorHAnsi" w:cstheme="minorBidi"/>
              <w:sz w:val="22"/>
              <w:szCs w:val="22"/>
              <w:lang w:eastAsia="en-GB"/>
            </w:rPr>
          </w:pPr>
          <w:hyperlink w:anchor="_Toc101799303">
            <w:r w:rsidR="00B82DB6">
              <w:rPr>
                <w:rStyle w:val="IndexLink"/>
                <w:webHidden/>
              </w:rPr>
              <w:t>5.1</w:t>
            </w:r>
            <w:r w:rsidR="00B82DB6">
              <w:rPr>
                <w:rStyle w:val="IndexLink"/>
                <w:rFonts w:asciiTheme="minorHAnsi" w:eastAsiaTheme="minorEastAsia" w:hAnsiTheme="minorHAnsi" w:cstheme="minorBidi"/>
                <w:sz w:val="22"/>
                <w:szCs w:val="22"/>
                <w:lang w:eastAsia="en-GB"/>
              </w:rPr>
              <w:tab/>
            </w:r>
            <w:r w:rsidR="00B82DB6">
              <w:rPr>
                <w:rStyle w:val="IndexLink"/>
              </w:rPr>
              <w:t>Normative References</w:t>
            </w:r>
            <w:r w:rsidR="00B82DB6">
              <w:rPr>
                <w:webHidden/>
              </w:rPr>
              <w:fldChar w:fldCharType="begin"/>
            </w:r>
            <w:r w:rsidR="00B82DB6">
              <w:rPr>
                <w:webHidden/>
              </w:rPr>
              <w:instrText>PAGEREF _Toc101799303 \h</w:instrText>
            </w:r>
            <w:r w:rsidR="00B82DB6">
              <w:rPr>
                <w:webHidden/>
              </w:rPr>
            </w:r>
            <w:r w:rsidR="00B82DB6">
              <w:rPr>
                <w:webHidden/>
              </w:rPr>
              <w:fldChar w:fldCharType="separate"/>
            </w:r>
            <w:r w:rsidR="00B82DB6">
              <w:rPr>
                <w:rStyle w:val="IndexLink"/>
              </w:rPr>
              <w:tab/>
              <w:t>4</w:t>
            </w:r>
            <w:r w:rsidR="00B82DB6">
              <w:rPr>
                <w:webHidden/>
              </w:rPr>
              <w:fldChar w:fldCharType="end"/>
            </w:r>
          </w:hyperlink>
        </w:p>
        <w:p w14:paraId="5CB74FEC" w14:textId="77777777" w:rsidR="00010BD2" w:rsidRDefault="0019539A">
          <w:pPr>
            <w:pStyle w:val="TOC2"/>
            <w:tabs>
              <w:tab w:val="left" w:pos="880"/>
              <w:tab w:val="right" w:leader="dot" w:pos="9345"/>
            </w:tabs>
            <w:rPr>
              <w:rFonts w:asciiTheme="minorHAnsi" w:eastAsiaTheme="minorEastAsia" w:hAnsiTheme="minorHAnsi" w:cstheme="minorBidi"/>
              <w:sz w:val="22"/>
              <w:szCs w:val="22"/>
              <w:lang w:eastAsia="en-GB"/>
            </w:rPr>
          </w:pPr>
          <w:hyperlink w:anchor="_Toc101799304">
            <w:r w:rsidR="00B82DB6">
              <w:rPr>
                <w:rStyle w:val="IndexLink"/>
                <w:webHidden/>
              </w:rPr>
              <w:t>5.2</w:t>
            </w:r>
            <w:r w:rsidR="00B82DB6">
              <w:rPr>
                <w:rStyle w:val="IndexLink"/>
                <w:rFonts w:asciiTheme="minorHAnsi" w:eastAsiaTheme="minorEastAsia" w:hAnsiTheme="minorHAnsi" w:cstheme="minorBidi"/>
                <w:sz w:val="22"/>
                <w:szCs w:val="22"/>
                <w:lang w:eastAsia="en-GB"/>
              </w:rPr>
              <w:tab/>
            </w:r>
            <w:r w:rsidR="00B82DB6">
              <w:rPr>
                <w:rStyle w:val="IndexLink"/>
              </w:rPr>
              <w:t>Informative References</w:t>
            </w:r>
            <w:r w:rsidR="00B82DB6">
              <w:rPr>
                <w:webHidden/>
              </w:rPr>
              <w:fldChar w:fldCharType="begin"/>
            </w:r>
            <w:r w:rsidR="00B82DB6">
              <w:rPr>
                <w:webHidden/>
              </w:rPr>
              <w:instrText>PAGEREF _Toc101799304 \h</w:instrText>
            </w:r>
            <w:r w:rsidR="00B82DB6">
              <w:rPr>
                <w:webHidden/>
              </w:rPr>
            </w:r>
            <w:r w:rsidR="00B82DB6">
              <w:rPr>
                <w:webHidden/>
              </w:rPr>
              <w:fldChar w:fldCharType="separate"/>
            </w:r>
            <w:r w:rsidR="00B82DB6">
              <w:rPr>
                <w:rStyle w:val="IndexLink"/>
              </w:rPr>
              <w:tab/>
              <w:t>4</w:t>
            </w:r>
            <w:r w:rsidR="00B82DB6">
              <w:rPr>
                <w:webHidden/>
              </w:rPr>
              <w:fldChar w:fldCharType="end"/>
            </w:r>
          </w:hyperlink>
        </w:p>
        <w:p w14:paraId="5CB74FED" w14:textId="77777777" w:rsidR="00010BD2" w:rsidRDefault="0019539A">
          <w:pPr>
            <w:pStyle w:val="TOC1"/>
            <w:tabs>
              <w:tab w:val="right" w:leader="dot" w:pos="9345"/>
            </w:tabs>
            <w:rPr>
              <w:rFonts w:asciiTheme="minorHAnsi" w:eastAsiaTheme="minorEastAsia" w:hAnsiTheme="minorHAnsi" w:cstheme="minorBidi"/>
              <w:sz w:val="22"/>
              <w:szCs w:val="22"/>
              <w:lang w:eastAsia="en-GB"/>
            </w:rPr>
          </w:pPr>
          <w:hyperlink w:anchor="_Toc101799305">
            <w:r w:rsidR="00B82DB6">
              <w:rPr>
                <w:rStyle w:val="IndexLink"/>
                <w:webHidden/>
                <w:lang w:val="en-US"/>
              </w:rPr>
              <w:t>Annex 1 – MPAI-wide terms and definitions</w:t>
            </w:r>
            <w:r w:rsidR="00B82DB6">
              <w:rPr>
                <w:webHidden/>
              </w:rPr>
              <w:fldChar w:fldCharType="begin"/>
            </w:r>
            <w:r w:rsidR="00B82DB6">
              <w:rPr>
                <w:webHidden/>
              </w:rPr>
              <w:instrText>PAGEREF _Toc101799305 \h</w:instrText>
            </w:r>
            <w:r w:rsidR="00B82DB6">
              <w:rPr>
                <w:webHidden/>
              </w:rPr>
            </w:r>
            <w:r w:rsidR="00B82DB6">
              <w:rPr>
                <w:webHidden/>
              </w:rPr>
              <w:fldChar w:fldCharType="separate"/>
            </w:r>
            <w:r w:rsidR="00B82DB6">
              <w:rPr>
                <w:rStyle w:val="IndexLink"/>
              </w:rPr>
              <w:tab/>
              <w:t>5</w:t>
            </w:r>
            <w:r w:rsidR="00B82DB6">
              <w:rPr>
                <w:webHidden/>
              </w:rPr>
              <w:fldChar w:fldCharType="end"/>
            </w:r>
          </w:hyperlink>
        </w:p>
        <w:p w14:paraId="5CB74FEE" w14:textId="77777777" w:rsidR="00010BD2" w:rsidRDefault="0019539A">
          <w:pPr>
            <w:pStyle w:val="TOC1"/>
            <w:tabs>
              <w:tab w:val="right" w:leader="dot" w:pos="9345"/>
            </w:tabs>
            <w:rPr>
              <w:rFonts w:asciiTheme="minorHAnsi" w:eastAsiaTheme="minorEastAsia" w:hAnsiTheme="minorHAnsi" w:cstheme="minorBidi"/>
              <w:sz w:val="22"/>
              <w:szCs w:val="22"/>
              <w:lang w:eastAsia="en-GB"/>
            </w:rPr>
          </w:pPr>
          <w:hyperlink w:anchor="_Toc101799306">
            <w:r w:rsidR="00B82DB6">
              <w:rPr>
                <w:rStyle w:val="IndexLink"/>
                <w:webHidden/>
                <w:lang w:val="en-US"/>
              </w:rPr>
              <w:t>Annex 2 - Notices and Disclaimers Concerning MPAI Standards (Informative)</w:t>
            </w:r>
            <w:r w:rsidR="00B82DB6">
              <w:rPr>
                <w:webHidden/>
              </w:rPr>
              <w:fldChar w:fldCharType="begin"/>
            </w:r>
            <w:r w:rsidR="00B82DB6">
              <w:rPr>
                <w:webHidden/>
              </w:rPr>
              <w:instrText>PAGEREF _Toc101799306 \h</w:instrText>
            </w:r>
            <w:r w:rsidR="00B82DB6">
              <w:rPr>
                <w:webHidden/>
              </w:rPr>
            </w:r>
            <w:r w:rsidR="00B82DB6">
              <w:rPr>
                <w:webHidden/>
              </w:rPr>
              <w:fldChar w:fldCharType="separate"/>
            </w:r>
            <w:r w:rsidR="00B82DB6">
              <w:rPr>
                <w:rStyle w:val="IndexLink"/>
              </w:rPr>
              <w:tab/>
              <w:t>8</w:t>
            </w:r>
            <w:r w:rsidR="00B82DB6">
              <w:rPr>
                <w:webHidden/>
              </w:rPr>
              <w:fldChar w:fldCharType="end"/>
            </w:r>
          </w:hyperlink>
        </w:p>
        <w:p w14:paraId="5CB74FEF" w14:textId="77777777" w:rsidR="00010BD2" w:rsidRDefault="0019539A">
          <w:pPr>
            <w:pStyle w:val="TOC1"/>
            <w:tabs>
              <w:tab w:val="right" w:leader="dot" w:pos="9345"/>
            </w:tabs>
            <w:rPr>
              <w:rFonts w:asciiTheme="minorHAnsi" w:eastAsiaTheme="minorEastAsia" w:hAnsiTheme="minorHAnsi" w:cstheme="minorBidi"/>
              <w:sz w:val="22"/>
              <w:szCs w:val="22"/>
              <w:lang w:eastAsia="en-GB"/>
            </w:rPr>
          </w:pPr>
          <w:hyperlink w:anchor="_Toc101799307">
            <w:r w:rsidR="00B82DB6">
              <w:rPr>
                <w:rStyle w:val="IndexLink"/>
                <w:webHidden/>
                <w:lang w:val="en-US"/>
              </w:rPr>
              <w:t>Annex 3 – The Governance of the MPAI Ecosystem (Informative)</w:t>
            </w:r>
            <w:r w:rsidR="00B82DB6">
              <w:rPr>
                <w:webHidden/>
              </w:rPr>
              <w:fldChar w:fldCharType="begin"/>
            </w:r>
            <w:r w:rsidR="00B82DB6">
              <w:rPr>
                <w:webHidden/>
              </w:rPr>
              <w:instrText>PAGEREF _Toc101799307 \h</w:instrText>
            </w:r>
            <w:r w:rsidR="00B82DB6">
              <w:rPr>
                <w:webHidden/>
              </w:rPr>
            </w:r>
            <w:r w:rsidR="00B82DB6">
              <w:rPr>
                <w:webHidden/>
              </w:rPr>
              <w:fldChar w:fldCharType="separate"/>
            </w:r>
            <w:r w:rsidR="00B82DB6">
              <w:rPr>
                <w:rStyle w:val="IndexLink"/>
              </w:rPr>
              <w:tab/>
              <w:t>10</w:t>
            </w:r>
            <w:r w:rsidR="00B82DB6">
              <w:rPr>
                <w:webHidden/>
              </w:rPr>
              <w:fldChar w:fldCharType="end"/>
            </w:r>
          </w:hyperlink>
          <w:r w:rsidR="00B82DB6">
            <w:rPr>
              <w:rStyle w:val="IndexLink"/>
            </w:rPr>
            <w:fldChar w:fldCharType="end"/>
          </w:r>
        </w:p>
      </w:sdtContent>
    </w:sdt>
    <w:p w14:paraId="5CB74FF0" w14:textId="77777777" w:rsidR="00010BD2" w:rsidRDefault="00010BD2"/>
    <w:p w14:paraId="5CB74FF1" w14:textId="77777777" w:rsidR="00010BD2" w:rsidRDefault="00B82DB6">
      <w:pPr>
        <w:pStyle w:val="Heading1"/>
      </w:pPr>
      <w:bookmarkStart w:id="0" w:name="_Toc101799298"/>
      <w:bookmarkStart w:id="1" w:name="_Toc80531324"/>
      <w:bookmarkStart w:id="2" w:name="_Toc68615479"/>
      <w:r>
        <w:t>Introduction</w:t>
      </w:r>
      <w:bookmarkEnd w:id="0"/>
      <w:bookmarkEnd w:id="1"/>
      <w:bookmarkEnd w:id="2"/>
    </w:p>
    <w:p w14:paraId="5CB74FF2" w14:textId="77777777" w:rsidR="00010BD2" w:rsidRDefault="00B82DB6">
      <w:pPr>
        <w:jc w:val="both"/>
        <w:rPr>
          <w:lang w:val="en-US"/>
        </w:rPr>
      </w:pPr>
      <w:r>
        <w:rPr>
          <w:lang w:val="en-US"/>
        </w:rPr>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Pr>
          <w:i/>
          <w:iCs/>
          <w:lang w:val="en-US"/>
        </w:rPr>
        <w:t xml:space="preserve">more efficient </w:t>
      </w:r>
      <w:r>
        <w:rPr>
          <w:lang w:val="en-US"/>
        </w:rPr>
        <w:t>than with existing technologies for, e.g., compression and feature-based description.</w:t>
      </w:r>
    </w:p>
    <w:p w14:paraId="5CB74FF3" w14:textId="77777777" w:rsidR="00010BD2" w:rsidRDefault="00B82DB6">
      <w:pPr>
        <w:jc w:val="both"/>
        <w:rPr>
          <w:lang w:val="en-US"/>
        </w:rPr>
      </w:pPr>
      <w:r>
        <w:rPr>
          <w:lang w:val="en-US"/>
        </w:rPr>
        <w:t xml:space="preserve">However, some AI technologies may carry inherent risks, e.g., in terms of bias toward some classes of users. Therefore, the need for </w:t>
      </w:r>
      <w:proofErr w:type="spellStart"/>
      <w:r>
        <w:rPr>
          <w:lang w:val="en-US"/>
        </w:rPr>
        <w:t>standardisation</w:t>
      </w:r>
      <w:proofErr w:type="spellEnd"/>
      <w:r>
        <w:rPr>
          <w:lang w:val="en-US"/>
        </w:rPr>
        <w:t xml:space="preserve"> is more important and urgent than ever.</w:t>
      </w:r>
    </w:p>
    <w:p w14:paraId="5CB74FF4" w14:textId="77777777" w:rsidR="00010BD2" w:rsidRDefault="00B82DB6">
      <w:pPr>
        <w:jc w:val="both"/>
        <w:rPr>
          <w:lang w:val="en-US"/>
        </w:rPr>
      </w:pPr>
      <w:r>
        <w:rPr>
          <w:lang w:val="en-US"/>
        </w:rPr>
        <w:t xml:space="preserve">The international, unaffiliated, not-for-profit MPAI – Moving Picture, Audio and Data Coding by Artificial Intelligence Standards Developing </w:t>
      </w:r>
      <w:proofErr w:type="spellStart"/>
      <w:r>
        <w:rPr>
          <w:lang w:val="en-US"/>
        </w:rPr>
        <w:t>Organisation</w:t>
      </w:r>
      <w:proofErr w:type="spellEnd"/>
      <w:r>
        <w:rPr>
          <w:lang w:val="en-US"/>
        </w:rPr>
        <w:t xml:space="preserve"> has the mission to develop </w:t>
      </w:r>
      <w:r>
        <w:rPr>
          <w:i/>
          <w:iCs/>
          <w:lang w:val="en-US"/>
        </w:rPr>
        <w:t>AI-enabled data coding standards</w:t>
      </w:r>
      <w:r>
        <w:rPr>
          <w:lang w:val="en-US"/>
        </w:rPr>
        <w:t xml:space="preserve">. MPAI Application Standards enable the development of AI-based products, </w:t>
      </w:r>
      <w:proofErr w:type="gramStart"/>
      <w:r>
        <w:rPr>
          <w:lang w:val="en-US"/>
        </w:rPr>
        <w:t>applications</w:t>
      </w:r>
      <w:proofErr w:type="gramEnd"/>
      <w:r>
        <w:rPr>
          <w:lang w:val="en-US"/>
        </w:rPr>
        <w:t xml:space="preserve"> and services.</w:t>
      </w:r>
    </w:p>
    <w:p w14:paraId="5CB74FF5" w14:textId="77777777" w:rsidR="00010BD2" w:rsidRDefault="00B82DB6">
      <w:pPr>
        <w:jc w:val="both"/>
        <w:rPr>
          <w:lang w:val="en-US"/>
        </w:rPr>
      </w:pPr>
      <w:r>
        <w:rPr>
          <w:lang w:val="en-US"/>
        </w:rPr>
        <w:t xml:space="preserve">As a part of its mission, MPAI has developed standards operating procedures to enable users of MPAI implementations to make informed decision about their applicability. Central to this is the notion of Performance, defined as a set of attributes </w:t>
      </w:r>
      <w:proofErr w:type="spellStart"/>
      <w:r>
        <w:rPr>
          <w:lang w:val="en-US"/>
        </w:rPr>
        <w:t>characterising</w:t>
      </w:r>
      <w:proofErr w:type="spellEnd"/>
      <w:r>
        <w:rPr>
          <w:lang w:val="en-US"/>
        </w:rPr>
        <w:t xml:space="preserve"> a reliable and trustworthy implementation. </w:t>
      </w:r>
    </w:p>
    <w:p w14:paraId="5CB74FF6" w14:textId="77777777" w:rsidR="00010BD2" w:rsidRDefault="00B82DB6">
      <w:pPr>
        <w:jc w:val="both"/>
        <w:rPr>
          <w:lang w:val="en-US"/>
        </w:rPr>
      </w:pPr>
      <w:r>
        <w:rPr>
          <w:lang w:val="en-US"/>
        </w:rPr>
        <w:t xml:space="preserve">For the </w:t>
      </w:r>
      <w:proofErr w:type="gramStart"/>
      <w:r>
        <w:rPr>
          <w:lang w:val="en-US"/>
        </w:rPr>
        <w:t>aforementioned reasons</w:t>
      </w:r>
      <w:proofErr w:type="gramEnd"/>
      <w:r>
        <w:rPr>
          <w:lang w:val="en-US"/>
        </w:rPr>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5CB74FF7" w14:textId="77777777" w:rsidR="00010BD2" w:rsidRDefault="00B82DB6">
      <w:pPr>
        <w:jc w:val="both"/>
        <w:rPr>
          <w:lang w:val="en-US"/>
        </w:rPr>
      </w:pPr>
      <w:r>
        <w:rPr>
          <w:lang w:val="en-US"/>
        </w:rPr>
        <w:t xml:space="preserve">In the following, Terms beginning with a capital letter are defined in </w:t>
      </w:r>
      <w:r>
        <w:rPr>
          <w:lang w:val="en-US"/>
        </w:rPr>
        <w:fldChar w:fldCharType="begin"/>
      </w:r>
      <w:r>
        <w:rPr>
          <w:lang w:val="en-US"/>
        </w:rPr>
        <w:instrText>REF _Ref81667071 \h</w:instrText>
      </w:r>
      <w:r>
        <w:rPr>
          <w:lang w:val="en-US"/>
        </w:rPr>
      </w:r>
      <w:r>
        <w:rPr>
          <w:lang w:val="en-US"/>
        </w:rPr>
        <w:fldChar w:fldCharType="separate"/>
      </w:r>
      <w:r>
        <w:rPr>
          <w:lang w:val="en-US"/>
        </w:rPr>
        <w:t>Table 1</w:t>
      </w:r>
      <w:r>
        <w:rPr>
          <w:lang w:val="en-US"/>
        </w:rPr>
        <w:fldChar w:fldCharType="end"/>
      </w:r>
      <w:r>
        <w:rPr>
          <w:lang w:val="en-US"/>
        </w:rPr>
        <w:t xml:space="preserve"> if they are specific to this Standard and in </w:t>
      </w:r>
      <w:r>
        <w:rPr>
          <w:lang w:val="en-US"/>
        </w:rPr>
        <w:fldChar w:fldCharType="begin"/>
      </w:r>
      <w:r>
        <w:rPr>
          <w:lang w:val="en-US"/>
        </w:rPr>
        <w:instrText>REF _Ref79761075 \h</w:instrText>
      </w:r>
      <w:r>
        <w:rPr>
          <w:lang w:val="en-US"/>
        </w:rPr>
      </w:r>
      <w:r>
        <w:rPr>
          <w:lang w:val="en-US"/>
        </w:rPr>
        <w:fldChar w:fldCharType="separate"/>
      </w:r>
      <w:r>
        <w:rPr>
          <w:lang w:val="en-US"/>
        </w:rPr>
        <w:t>Table 2</w:t>
      </w:r>
      <w:r>
        <w:rPr>
          <w:lang w:val="en-US"/>
        </w:rPr>
        <w:fldChar w:fldCharType="end"/>
      </w:r>
      <w:r>
        <w:rPr>
          <w:lang w:val="en-US"/>
        </w:rPr>
        <w:t xml:space="preserve"> if they are common to all MPAI Standards.</w:t>
      </w:r>
    </w:p>
    <w:p w14:paraId="5CB74FF8" w14:textId="77777777" w:rsidR="00010BD2" w:rsidRDefault="00B82DB6">
      <w:pPr>
        <w:jc w:val="both"/>
      </w:pPr>
      <w:r>
        <w:rPr>
          <w:lang w:val="en-US"/>
        </w:rPr>
        <w:t xml:space="preserve">The MPAI Ecosystem is fully specified in </w:t>
      </w:r>
      <w:r>
        <w:t>[</w:t>
      </w:r>
      <w:r>
        <w:fldChar w:fldCharType="begin"/>
      </w:r>
      <w:r>
        <w:instrText>REF _Ref81667717 \r \h</w:instrText>
      </w:r>
      <w:r>
        <w:fldChar w:fldCharType="separate"/>
      </w:r>
      <w:r>
        <w:t>1.</w:t>
      </w:r>
      <w:r>
        <w:fldChar w:fldCharType="end"/>
      </w:r>
      <w:r>
        <w:t xml:space="preserve">]. It is composed of: </w:t>
      </w:r>
    </w:p>
    <w:p w14:paraId="5CB74FF9" w14:textId="77777777" w:rsidR="00010BD2" w:rsidRDefault="00B82DB6">
      <w:pPr>
        <w:pStyle w:val="ListParagraph"/>
        <w:numPr>
          <w:ilvl w:val="0"/>
          <w:numId w:val="9"/>
        </w:numPr>
        <w:jc w:val="both"/>
        <w:rPr>
          <w:lang w:val="en-US"/>
        </w:rPr>
      </w:pPr>
      <w:r>
        <w:t>MPAI as provider of Technical, Conformance and Performance Specifications.</w:t>
      </w:r>
    </w:p>
    <w:p w14:paraId="5CB74FFA" w14:textId="77777777" w:rsidR="00010BD2" w:rsidRDefault="00B82DB6">
      <w:pPr>
        <w:pStyle w:val="ListParagraph"/>
        <w:numPr>
          <w:ilvl w:val="0"/>
          <w:numId w:val="9"/>
        </w:numPr>
        <w:jc w:val="both"/>
        <w:rPr>
          <w:lang w:val="en-US"/>
        </w:rPr>
      </w:pPr>
      <w:r>
        <w:rPr>
          <w:lang w:val="en-US"/>
        </w:rPr>
        <w:t>Implementers of MPAI standards.</w:t>
      </w:r>
    </w:p>
    <w:p w14:paraId="5CB74FFB" w14:textId="77777777" w:rsidR="00010BD2" w:rsidRDefault="00B82DB6">
      <w:pPr>
        <w:pStyle w:val="ListParagraph"/>
        <w:numPr>
          <w:ilvl w:val="0"/>
          <w:numId w:val="9"/>
        </w:numPr>
        <w:jc w:val="both"/>
        <w:rPr>
          <w:lang w:val="en-US"/>
        </w:rPr>
      </w:pPr>
      <w:r>
        <w:rPr>
          <w:lang w:val="en-US"/>
        </w:rPr>
        <w:lastRenderedPageBreak/>
        <w:t>MPAI-appointed Performance Assessors.</w:t>
      </w:r>
    </w:p>
    <w:p w14:paraId="5CB74FFC" w14:textId="77777777" w:rsidR="00010BD2" w:rsidRDefault="00B82DB6">
      <w:pPr>
        <w:pStyle w:val="ListParagraph"/>
        <w:numPr>
          <w:ilvl w:val="0"/>
          <w:numId w:val="9"/>
        </w:numPr>
        <w:jc w:val="both"/>
        <w:rPr>
          <w:lang w:val="en-US"/>
        </w:rPr>
      </w:pPr>
      <w:r>
        <w:rPr>
          <w:lang w:val="en-US"/>
        </w:rPr>
        <w:t>The MPAI Store which takes care of secure distribution of validated Implementations.</w:t>
      </w:r>
    </w:p>
    <w:p w14:paraId="5CB74FFD" w14:textId="77777777" w:rsidR="00010BD2" w:rsidRDefault="00B82DB6">
      <w:pPr>
        <w:jc w:val="both"/>
        <w:rPr>
          <w:lang w:val="en-US"/>
        </w:rPr>
      </w:pPr>
      <w:r>
        <w:rPr>
          <w:lang w:val="en-US"/>
        </w:rPr>
        <w:fldChar w:fldCharType="begin"/>
      </w:r>
      <w:r>
        <w:rPr>
          <w:lang w:val="en-US"/>
        </w:rPr>
        <w:instrText>REF _Ref83385730 \h</w:instrText>
      </w:r>
      <w:r>
        <w:rPr>
          <w:lang w:val="en-US"/>
        </w:rPr>
      </w:r>
      <w:r>
        <w:rPr>
          <w:lang w:val="en-US"/>
        </w:rPr>
        <w:fldChar w:fldCharType="separate"/>
      </w:r>
      <w:r>
        <w:rPr>
          <w:lang w:val="en-US"/>
        </w:rPr>
        <w:t>Figure 1</w:t>
      </w:r>
      <w:r>
        <w:rPr>
          <w:lang w:val="en-US"/>
        </w:rPr>
        <w:fldChar w:fldCharType="end"/>
      </w:r>
      <w:r>
        <w:rPr>
          <w:lang w:val="en-US"/>
        </w:rPr>
        <w:t xml:space="preserve">depicts Version 1 of the MPAI-AIF Reference Model under which Implementations of MPAI Application Standards and user-defined MPAI-AIF conforming applications operate. </w:t>
      </w:r>
    </w:p>
    <w:p w14:paraId="5CB74FFE" w14:textId="77777777" w:rsidR="00010BD2" w:rsidRDefault="00B82DB6">
      <w:pPr>
        <w:jc w:val="both"/>
        <w:rPr>
          <w:lang w:val="en-US"/>
        </w:rPr>
      </w:pPr>
      <w:r>
        <w:rPr>
          <w:lang w:val="en-US"/>
        </w:rPr>
        <w:t>An AIF Implementation allows execution of AI Workflows (AIW), composed of basic processing elements called AI Modules (AIM).</w:t>
      </w:r>
    </w:p>
    <w:p w14:paraId="5CB74FFF" w14:textId="77777777" w:rsidR="00010BD2" w:rsidRDefault="00010BD2">
      <w:pPr>
        <w:jc w:val="both"/>
        <w:rPr>
          <w:lang w:val="en-US"/>
        </w:rPr>
      </w:pPr>
    </w:p>
    <w:p w14:paraId="5CB75000" w14:textId="77777777" w:rsidR="00010BD2" w:rsidRDefault="0019539A">
      <w:pPr>
        <w:jc w:val="center"/>
        <w:rPr>
          <w:lang w:val="en-US"/>
        </w:rPr>
      </w:pPr>
      <w:r>
        <w:pict w14:anchorId="5CB751A9">
          <v:shape id="_x0000_tole_rId4" o:spid="_x0000_s1027" type="#_x0000_t75" style="position:absolute;left:0;text-align:left;margin-left:0;margin-top:0;width:50pt;height:50pt;z-index:251658752;visibility:hidden">
            <o:lock v:ext="edit" selection="t"/>
          </v:shape>
        </w:pict>
      </w:r>
      <w:r w:rsidR="00B82DB6">
        <w:object w:dxaOrig="11088" w:dyaOrig="5064" w14:anchorId="5CB751AA">
          <v:shape id="ole_rId4" o:spid="_x0000_i1026" type="#_x0000_t75" style="width:351pt;height:161.4pt;visibility:visible;mso-wrap-distance-right:0" o:ole="">
            <v:imagedata r:id="rId8" o:title=""/>
          </v:shape>
          <o:OLEObject Type="Embed" ProgID="PBrush" ShapeID="ole_rId4" DrawAspect="Content" ObjectID="_1714384043" r:id="rId9"/>
        </w:object>
      </w:r>
    </w:p>
    <w:p w14:paraId="5CB75001" w14:textId="77777777" w:rsidR="00010BD2" w:rsidRDefault="00B82DB6">
      <w:pPr>
        <w:jc w:val="center"/>
        <w:rPr>
          <w:lang w:val="en-US"/>
        </w:rPr>
      </w:pPr>
      <w:bookmarkStart w:id="3" w:name="_Ref83385730"/>
      <w:r>
        <w:rPr>
          <w:i/>
          <w:lang w:val="en-US"/>
        </w:rPr>
        <w:t xml:space="preserve">Figure </w:t>
      </w:r>
      <w:r>
        <w:rPr>
          <w:i/>
        </w:rPr>
        <w:fldChar w:fldCharType="begin"/>
      </w:r>
      <w:r>
        <w:rPr>
          <w:i/>
        </w:rPr>
        <w:instrText>SEQ Figure \* ARABIC</w:instrText>
      </w:r>
      <w:r>
        <w:rPr>
          <w:i/>
        </w:rPr>
        <w:fldChar w:fldCharType="separate"/>
      </w:r>
      <w:r>
        <w:rPr>
          <w:i/>
        </w:rPr>
        <w:t>1</w:t>
      </w:r>
      <w:r>
        <w:rPr>
          <w:i/>
        </w:rPr>
        <w:fldChar w:fldCharType="end"/>
      </w:r>
      <w:bookmarkEnd w:id="3"/>
      <w:r>
        <w:rPr>
          <w:i/>
          <w:lang w:val="en-US"/>
        </w:rPr>
        <w:t xml:space="preserve"> – The AI Framework (AIF) Reference Model and its Components</w:t>
      </w:r>
    </w:p>
    <w:p w14:paraId="5CB75002" w14:textId="77777777" w:rsidR="00010BD2" w:rsidRDefault="00010BD2">
      <w:pPr>
        <w:jc w:val="both"/>
        <w:rPr>
          <w:lang w:val="en-US"/>
        </w:rPr>
      </w:pPr>
      <w:bookmarkStart w:id="4" w:name="_Hlk80607885"/>
      <w:bookmarkEnd w:id="4"/>
    </w:p>
    <w:p w14:paraId="5CB75003" w14:textId="77777777" w:rsidR="00010BD2" w:rsidRDefault="00B82DB6">
      <w:pPr>
        <w:jc w:val="both"/>
        <w:rPr>
          <w:lang w:val="en-US"/>
        </w:rPr>
      </w:pPr>
      <w:r>
        <w:rPr>
          <w:lang w:val="en-US"/>
        </w:rPr>
        <w:t>MPAI Application Standards normatively specify Syntax and Semantics of the input and output data and the Function of the AIW and the AIMs, and the Connections between and among the AIMs of an AIW.</w:t>
      </w:r>
    </w:p>
    <w:p w14:paraId="5CB75004" w14:textId="77777777" w:rsidR="00010BD2" w:rsidRDefault="00B82DB6">
      <w:pPr>
        <w:jc w:val="both"/>
      </w:pPr>
      <w:proofErr w:type="gramStart"/>
      <w:r>
        <w:t>In particular, an</w:t>
      </w:r>
      <w:proofErr w:type="gramEnd"/>
      <w:r>
        <w:t xml:space="preserve"> AIM is defined by its Function and data, but not by its internal architecture, which may be based on AI or data processing, and implemented in software, hardware or hybrid software and hardware technologies.</w:t>
      </w:r>
    </w:p>
    <w:p w14:paraId="5CB75005" w14:textId="77777777" w:rsidR="00010BD2" w:rsidRDefault="00B82DB6">
      <w:pPr>
        <w:jc w:val="both"/>
      </w:pPr>
      <w:r>
        <w:t>MPAI defines Interoperability as the ability to replace an AIW or an AIM Implementation with a functionally equivalent Implementation. MPAI also defines 3 Interoperability Levels of an AI</w:t>
      </w:r>
      <w:r>
        <w:rPr>
          <w:lang w:val="en-US"/>
        </w:rPr>
        <w:t>W</w:t>
      </w:r>
      <w:r>
        <w:t xml:space="preserve"> execute</w:t>
      </w:r>
      <w:r>
        <w:rPr>
          <w:lang w:val="en-US"/>
        </w:rPr>
        <w:t>d</w:t>
      </w:r>
      <w:r>
        <w:t xml:space="preserve"> </w:t>
      </w:r>
      <w:r>
        <w:rPr>
          <w:lang w:val="en-US"/>
        </w:rPr>
        <w:t xml:space="preserve">in </w:t>
      </w:r>
      <w:r>
        <w:t>an AI</w:t>
      </w:r>
      <w:r>
        <w:rPr>
          <w:lang w:val="en-US"/>
        </w:rPr>
        <w:t>F:</w:t>
      </w:r>
    </w:p>
    <w:p w14:paraId="5CB75006" w14:textId="77777777" w:rsidR="00010BD2" w:rsidRDefault="00B82DB6">
      <w:pPr>
        <w:jc w:val="both"/>
      </w:pPr>
      <w:r>
        <w:rPr>
          <w:i/>
          <w:iCs/>
        </w:rPr>
        <w:t xml:space="preserve">Level 1 – </w:t>
      </w:r>
      <w:r>
        <w:t>Implementer-specific and satisfying the MPAI-AIF Standard.</w:t>
      </w:r>
    </w:p>
    <w:p w14:paraId="5CB75007" w14:textId="77777777" w:rsidR="00010BD2" w:rsidRDefault="00B82DB6">
      <w:pPr>
        <w:jc w:val="both"/>
      </w:pPr>
      <w:r>
        <w:rPr>
          <w:i/>
          <w:iCs/>
        </w:rPr>
        <w:t xml:space="preserve">Level 2 – </w:t>
      </w:r>
      <w:r>
        <w:t>Specified by an MPAI Application Standard.</w:t>
      </w:r>
    </w:p>
    <w:p w14:paraId="5CB75008" w14:textId="77777777" w:rsidR="00010BD2" w:rsidRDefault="00B82DB6">
      <w:pPr>
        <w:jc w:val="both"/>
      </w:pPr>
      <w:r>
        <w:rPr>
          <w:i/>
          <w:iCs/>
        </w:rPr>
        <w:t xml:space="preserve">Level 3 – </w:t>
      </w:r>
      <w:r>
        <w:t>Specified by an MPAI Application Standard and certified by a Performance Assessor.</w:t>
      </w:r>
    </w:p>
    <w:p w14:paraId="5CB75009" w14:textId="77777777" w:rsidR="00010BD2" w:rsidRDefault="00B82DB6">
      <w:pPr>
        <w:jc w:val="both"/>
      </w:pPr>
      <w:r>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5CB7500A" w14:textId="77777777" w:rsidR="00010BD2" w:rsidRDefault="00010BD2"/>
    <w:p w14:paraId="5CB7500B" w14:textId="77777777" w:rsidR="00010BD2" w:rsidRDefault="00B82DB6">
      <w:pPr>
        <w:pStyle w:val="Heading1"/>
        <w:jc w:val="both"/>
      </w:pPr>
      <w:bookmarkStart w:id="5" w:name="_Hlk81983180"/>
      <w:bookmarkStart w:id="6" w:name="_Toc101799299"/>
      <w:bookmarkEnd w:id="5"/>
      <w:r>
        <w:t>Use Cases</w:t>
      </w:r>
      <w:bookmarkEnd w:id="6"/>
    </w:p>
    <w:p w14:paraId="5CB7500C" w14:textId="77777777" w:rsidR="00010BD2" w:rsidRDefault="00B82DB6">
      <w:r>
        <w:t>MPAI-AIF V2 intends to provide a security infrastructure to the standard AI Framework specified by [</w:t>
      </w:r>
      <w:r>
        <w:fldChar w:fldCharType="begin"/>
      </w:r>
      <w:r>
        <w:instrText>REF _Ref101088404 \r \h</w:instrText>
      </w:r>
      <w:r>
        <w:fldChar w:fldCharType="separate"/>
      </w:r>
      <w:r>
        <w:t>2.</w:t>
      </w:r>
      <w:r>
        <w:fldChar w:fldCharType="end"/>
      </w:r>
      <w:r>
        <w:t>].</w:t>
      </w:r>
    </w:p>
    <w:p w14:paraId="5CB7500D" w14:textId="77777777" w:rsidR="00010BD2" w:rsidRDefault="00B82DB6">
      <w:pPr>
        <w:jc w:val="both"/>
        <w:rPr>
          <w:lang w:val="en-US"/>
        </w:rPr>
      </w:pPr>
      <w:r>
        <w:rPr>
          <w:lang w:val="en-US"/>
        </w:rPr>
        <w:t xml:space="preserve">MPAI-AIF V2 will be developed by the MPAI </w:t>
      </w:r>
      <w:r>
        <w:rPr>
          <w:i/>
          <w:iCs/>
          <w:lang w:val="en-US"/>
        </w:rPr>
        <w:t>AI Framework Development Committee</w:t>
      </w:r>
      <w:r>
        <w:rPr>
          <w:lang w:val="en-US"/>
        </w:rPr>
        <w:t xml:space="preserve"> (AIF-DC). </w:t>
      </w:r>
    </w:p>
    <w:p w14:paraId="5CB7500E" w14:textId="77777777" w:rsidR="00010BD2" w:rsidRDefault="00010BD2">
      <w:pPr>
        <w:jc w:val="both"/>
      </w:pPr>
    </w:p>
    <w:p w14:paraId="5CB7500F" w14:textId="77777777" w:rsidR="00010BD2" w:rsidRDefault="00B82DB6">
      <w:pPr>
        <w:pStyle w:val="Heading1"/>
        <w:jc w:val="both"/>
      </w:pPr>
      <w:bookmarkStart w:id="7" w:name="_Toc101799300"/>
      <w:r>
        <w:t>Terms specific to MPAI-AIF V2</w:t>
      </w:r>
      <w:bookmarkEnd w:id="7"/>
    </w:p>
    <w:p w14:paraId="5CB75010" w14:textId="77777777" w:rsidR="00010BD2" w:rsidRDefault="00B82DB6">
      <w:pPr>
        <w:jc w:val="both"/>
        <w:rPr>
          <w:i/>
        </w:rPr>
      </w:pPr>
      <w:r>
        <w:rPr>
          <w:i/>
        </w:rPr>
        <w:t xml:space="preserve">Table 1 </w:t>
      </w:r>
      <w:r>
        <w:rPr>
          <w:iCs/>
        </w:rPr>
        <w:t>defines the</w:t>
      </w:r>
      <w:r>
        <w:t xml:space="preserve"> Terms used in this document whose first letter is capital</w:t>
      </w:r>
      <w:r>
        <w:rPr>
          <w:i/>
        </w:rPr>
        <w:t>.</w:t>
      </w:r>
      <w:r>
        <w:rPr>
          <w:iCs/>
        </w:rPr>
        <w:t xml:space="preserve"> The Terms of MPAI-wide applicability are defined in </w:t>
      </w:r>
      <w:r>
        <w:rPr>
          <w:iCs/>
        </w:rPr>
        <w:fldChar w:fldCharType="begin"/>
      </w:r>
      <w:r>
        <w:rPr>
          <w:iCs/>
        </w:rPr>
        <w:instrText>REF _Ref79761075 \h</w:instrText>
      </w:r>
      <w:r>
        <w:rPr>
          <w:iCs/>
        </w:rPr>
      </w:r>
      <w:r>
        <w:rPr>
          <w:iCs/>
        </w:rPr>
        <w:fldChar w:fldCharType="separate"/>
      </w:r>
      <w:r>
        <w:rPr>
          <w:iCs/>
        </w:rPr>
        <w:t>Table 2</w:t>
      </w:r>
      <w:r>
        <w:rPr>
          <w:iCs/>
        </w:rPr>
        <w:fldChar w:fldCharType="end"/>
      </w:r>
      <w:r>
        <w:rPr>
          <w:iCs/>
        </w:rPr>
        <w:t>.</w:t>
      </w:r>
    </w:p>
    <w:p w14:paraId="5CB75011" w14:textId="77777777" w:rsidR="00010BD2" w:rsidRDefault="00010BD2">
      <w:pPr>
        <w:jc w:val="center"/>
        <w:rPr>
          <w:i/>
        </w:rPr>
      </w:pPr>
    </w:p>
    <w:p w14:paraId="5CB75012" w14:textId="77777777" w:rsidR="00010BD2" w:rsidRDefault="00B82DB6">
      <w:pPr>
        <w:jc w:val="center"/>
        <w:rPr>
          <w:i/>
        </w:rPr>
      </w:pPr>
      <w:bookmarkStart w:id="8" w:name="_heading=h.z337ya"/>
      <w:bookmarkStart w:id="9" w:name="_Ref81667071"/>
      <w:bookmarkEnd w:id="8"/>
      <w:r>
        <w:rPr>
          <w:i/>
          <w:iCs/>
        </w:rPr>
        <w:t xml:space="preserve">Table </w:t>
      </w:r>
      <w:r>
        <w:rPr>
          <w:i/>
          <w:iCs/>
        </w:rPr>
        <w:fldChar w:fldCharType="begin"/>
      </w:r>
      <w:r>
        <w:rPr>
          <w:i/>
          <w:iCs/>
        </w:rPr>
        <w:instrText>SEQ Table \* ARABIC</w:instrText>
      </w:r>
      <w:r>
        <w:rPr>
          <w:i/>
          <w:iCs/>
        </w:rPr>
        <w:fldChar w:fldCharType="separate"/>
      </w:r>
      <w:r>
        <w:rPr>
          <w:i/>
          <w:iCs/>
        </w:rPr>
        <w:t>1</w:t>
      </w:r>
      <w:r>
        <w:rPr>
          <w:i/>
          <w:iCs/>
        </w:rPr>
        <w:fldChar w:fldCharType="end"/>
      </w:r>
      <w:bookmarkEnd w:id="9"/>
      <w:r>
        <w:rPr>
          <w:i/>
          <w:iCs/>
        </w:rPr>
        <w:t xml:space="preserve"> – </w:t>
      </w:r>
      <w:r>
        <w:rPr>
          <w:i/>
        </w:rPr>
        <w:t>Terms and definitions</w:t>
      </w:r>
    </w:p>
    <w:p w14:paraId="5CB75013" w14:textId="77777777" w:rsidR="00010BD2" w:rsidRDefault="00010BD2"/>
    <w:tbl>
      <w:tblPr>
        <w:tblW w:w="4579" w:type="dxa"/>
        <w:jc w:val="center"/>
        <w:tblLayout w:type="fixed"/>
        <w:tblLook w:val="0400" w:firstRow="0" w:lastRow="0" w:firstColumn="0" w:lastColumn="0" w:noHBand="0" w:noVBand="1"/>
      </w:tblPr>
      <w:tblGrid>
        <w:gridCol w:w="3336"/>
        <w:gridCol w:w="1243"/>
      </w:tblGrid>
      <w:tr w:rsidR="00010BD2" w14:paraId="5CB75016"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14" w14:textId="77777777" w:rsidR="00010BD2" w:rsidRDefault="00B82DB6">
            <w:pPr>
              <w:widowControl w:val="0"/>
              <w:jc w:val="both"/>
              <w:rPr>
                <w:b/>
              </w:rPr>
            </w:pPr>
            <w:r>
              <w:rPr>
                <w:b/>
              </w:rPr>
              <w:lastRenderedPageBreak/>
              <w:t>Term</w:t>
            </w:r>
          </w:p>
        </w:tc>
        <w:tc>
          <w:tcPr>
            <w:tcW w:w="1243" w:type="dxa"/>
            <w:tcBorders>
              <w:top w:val="single" w:sz="4" w:space="0" w:color="000000"/>
              <w:left w:val="single" w:sz="4" w:space="0" w:color="000000"/>
              <w:bottom w:val="single" w:sz="4" w:space="0" w:color="000000"/>
              <w:right w:val="single" w:sz="4" w:space="0" w:color="000000"/>
            </w:tcBorders>
          </w:tcPr>
          <w:p w14:paraId="5CB75015" w14:textId="77777777" w:rsidR="00010BD2" w:rsidRDefault="00B82DB6">
            <w:pPr>
              <w:widowControl w:val="0"/>
              <w:jc w:val="both"/>
              <w:rPr>
                <w:b/>
              </w:rPr>
            </w:pPr>
            <w:r>
              <w:rPr>
                <w:b/>
              </w:rPr>
              <w:t>Definition</w:t>
            </w:r>
          </w:p>
        </w:tc>
      </w:tr>
      <w:tr w:rsidR="00010BD2" w14:paraId="5CB75019"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17" w14:textId="77777777" w:rsidR="00010BD2" w:rsidRDefault="00B82DB6">
            <w:pPr>
              <w:widowControl w:val="0"/>
              <w:jc w:val="both"/>
            </w:pPr>
            <w:r>
              <w:t>Attestation Service</w:t>
            </w:r>
          </w:p>
        </w:tc>
        <w:tc>
          <w:tcPr>
            <w:tcW w:w="1243" w:type="dxa"/>
            <w:tcBorders>
              <w:top w:val="single" w:sz="4" w:space="0" w:color="000000"/>
              <w:left w:val="single" w:sz="4" w:space="0" w:color="000000"/>
              <w:bottom w:val="single" w:sz="4" w:space="0" w:color="000000"/>
              <w:right w:val="single" w:sz="4" w:space="0" w:color="000000"/>
            </w:tcBorders>
          </w:tcPr>
          <w:p w14:paraId="5CB75018" w14:textId="77777777" w:rsidR="00010BD2" w:rsidRDefault="00010BD2">
            <w:pPr>
              <w:widowControl w:val="0"/>
              <w:jc w:val="both"/>
            </w:pPr>
          </w:p>
        </w:tc>
      </w:tr>
      <w:tr w:rsidR="00010BD2" w14:paraId="5CB7501C"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1A" w14:textId="77777777" w:rsidR="00010BD2" w:rsidRDefault="00B82DB6">
            <w:pPr>
              <w:widowControl w:val="0"/>
              <w:jc w:val="both"/>
            </w:pPr>
            <w:r>
              <w:t>Crypto Engine</w:t>
            </w:r>
          </w:p>
        </w:tc>
        <w:tc>
          <w:tcPr>
            <w:tcW w:w="1243" w:type="dxa"/>
            <w:tcBorders>
              <w:top w:val="single" w:sz="4" w:space="0" w:color="000000"/>
              <w:left w:val="single" w:sz="4" w:space="0" w:color="000000"/>
              <w:bottom w:val="single" w:sz="4" w:space="0" w:color="000000"/>
              <w:right w:val="single" w:sz="4" w:space="0" w:color="000000"/>
            </w:tcBorders>
          </w:tcPr>
          <w:p w14:paraId="5CB7501B" w14:textId="77777777" w:rsidR="00010BD2" w:rsidRDefault="00010BD2">
            <w:pPr>
              <w:widowControl w:val="0"/>
              <w:jc w:val="both"/>
            </w:pPr>
          </w:p>
        </w:tc>
      </w:tr>
      <w:tr w:rsidR="00010BD2" w14:paraId="5CB7501F"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1D" w14:textId="77777777" w:rsidR="00010BD2" w:rsidRDefault="00B82DB6">
            <w:pPr>
              <w:widowControl w:val="0"/>
              <w:jc w:val="both"/>
            </w:pPr>
            <w:r>
              <w:t>Root of Trust</w:t>
            </w:r>
          </w:p>
        </w:tc>
        <w:tc>
          <w:tcPr>
            <w:tcW w:w="1243" w:type="dxa"/>
            <w:tcBorders>
              <w:top w:val="single" w:sz="4" w:space="0" w:color="000000"/>
              <w:left w:val="single" w:sz="4" w:space="0" w:color="000000"/>
              <w:bottom w:val="single" w:sz="4" w:space="0" w:color="000000"/>
              <w:right w:val="single" w:sz="4" w:space="0" w:color="000000"/>
            </w:tcBorders>
          </w:tcPr>
          <w:p w14:paraId="5CB7501E" w14:textId="77777777" w:rsidR="00010BD2" w:rsidRDefault="00010BD2">
            <w:pPr>
              <w:widowControl w:val="0"/>
              <w:jc w:val="both"/>
            </w:pPr>
          </w:p>
        </w:tc>
      </w:tr>
      <w:tr w:rsidR="00010BD2" w14:paraId="5CB75022"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20" w14:textId="77777777" w:rsidR="00010BD2" w:rsidRDefault="00B82DB6">
            <w:pPr>
              <w:widowControl w:val="0"/>
              <w:jc w:val="both"/>
            </w:pPr>
            <w:r>
              <w:t>Trusted Service</w:t>
            </w:r>
          </w:p>
        </w:tc>
        <w:tc>
          <w:tcPr>
            <w:tcW w:w="1243" w:type="dxa"/>
            <w:tcBorders>
              <w:top w:val="single" w:sz="4" w:space="0" w:color="000000"/>
              <w:left w:val="single" w:sz="4" w:space="0" w:color="000000"/>
              <w:bottom w:val="single" w:sz="4" w:space="0" w:color="000000"/>
              <w:right w:val="single" w:sz="4" w:space="0" w:color="000000"/>
            </w:tcBorders>
          </w:tcPr>
          <w:p w14:paraId="5CB75021" w14:textId="77777777" w:rsidR="00010BD2" w:rsidRDefault="00010BD2">
            <w:pPr>
              <w:widowControl w:val="0"/>
              <w:jc w:val="both"/>
            </w:pPr>
          </w:p>
        </w:tc>
      </w:tr>
      <w:tr w:rsidR="00010BD2" w14:paraId="5CB75025"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23" w14:textId="77777777" w:rsidR="00010BD2" w:rsidRDefault="00B82DB6">
            <w:pPr>
              <w:widowControl w:val="0"/>
              <w:jc w:val="both"/>
            </w:pPr>
            <w:r>
              <w:t>Trusted Communication Service</w:t>
            </w:r>
          </w:p>
        </w:tc>
        <w:tc>
          <w:tcPr>
            <w:tcW w:w="1243" w:type="dxa"/>
            <w:tcBorders>
              <w:top w:val="single" w:sz="4" w:space="0" w:color="000000"/>
              <w:left w:val="single" w:sz="4" w:space="0" w:color="000000"/>
              <w:bottom w:val="single" w:sz="4" w:space="0" w:color="000000"/>
              <w:right w:val="single" w:sz="4" w:space="0" w:color="000000"/>
            </w:tcBorders>
          </w:tcPr>
          <w:p w14:paraId="5CB75024" w14:textId="77777777" w:rsidR="00010BD2" w:rsidRDefault="00010BD2">
            <w:pPr>
              <w:widowControl w:val="0"/>
              <w:jc w:val="both"/>
            </w:pPr>
          </w:p>
        </w:tc>
      </w:tr>
      <w:tr w:rsidR="00010BD2" w14:paraId="5CB75028" w14:textId="77777777">
        <w:trPr>
          <w:jc w:val="center"/>
        </w:trPr>
        <w:tc>
          <w:tcPr>
            <w:tcW w:w="3335" w:type="dxa"/>
            <w:tcBorders>
              <w:top w:val="single" w:sz="4" w:space="0" w:color="000000"/>
              <w:left w:val="single" w:sz="4" w:space="0" w:color="000000"/>
              <w:bottom w:val="single" w:sz="4" w:space="0" w:color="000000"/>
              <w:right w:val="single" w:sz="4" w:space="0" w:color="000000"/>
            </w:tcBorders>
          </w:tcPr>
          <w:p w14:paraId="5CB75026" w14:textId="77777777" w:rsidR="00010BD2" w:rsidRDefault="00B82DB6">
            <w:pPr>
              <w:widowControl w:val="0"/>
              <w:jc w:val="both"/>
            </w:pPr>
            <w:r>
              <w:t>Trusted Storage Service</w:t>
            </w:r>
          </w:p>
        </w:tc>
        <w:tc>
          <w:tcPr>
            <w:tcW w:w="1243" w:type="dxa"/>
            <w:tcBorders>
              <w:top w:val="single" w:sz="4" w:space="0" w:color="000000"/>
              <w:left w:val="single" w:sz="4" w:space="0" w:color="000000"/>
              <w:bottom w:val="single" w:sz="4" w:space="0" w:color="000000"/>
              <w:right w:val="single" w:sz="4" w:space="0" w:color="000000"/>
            </w:tcBorders>
          </w:tcPr>
          <w:p w14:paraId="5CB75027" w14:textId="77777777" w:rsidR="00010BD2" w:rsidRDefault="00010BD2">
            <w:pPr>
              <w:widowControl w:val="0"/>
              <w:jc w:val="both"/>
            </w:pPr>
          </w:p>
        </w:tc>
      </w:tr>
    </w:tbl>
    <w:p w14:paraId="5CB75029" w14:textId="77777777" w:rsidR="00010BD2" w:rsidRDefault="00010BD2"/>
    <w:p w14:paraId="5CB7502A" w14:textId="77777777" w:rsidR="00010BD2" w:rsidRDefault="00B82DB6">
      <w:pPr>
        <w:pStyle w:val="Heading1"/>
      </w:pPr>
      <w:bookmarkStart w:id="10" w:name="_Toc101799301"/>
      <w:r>
        <w:t>Functional Requirements</w:t>
      </w:r>
      <w:bookmarkEnd w:id="10"/>
    </w:p>
    <w:p w14:paraId="5CB7502B" w14:textId="77777777" w:rsidR="00010BD2" w:rsidRDefault="00B82DB6">
      <w:r>
        <w:fldChar w:fldCharType="begin"/>
      </w:r>
      <w:r>
        <w:instrText>REF _Ref100592247 \h</w:instrText>
      </w:r>
      <w:r>
        <w:fldChar w:fldCharType="separate"/>
      </w:r>
      <w:r>
        <w:t>Figure 2</w:t>
      </w:r>
      <w:r>
        <w:fldChar w:fldCharType="end"/>
      </w:r>
      <w:r>
        <w:t xml:space="preserve"> depicts the Reference Model of MPAI-AIF V2.</w:t>
      </w:r>
    </w:p>
    <w:p w14:paraId="5CB7502C" w14:textId="77777777" w:rsidR="00010BD2" w:rsidRDefault="00010BD2"/>
    <w:p w14:paraId="5CB7502D" w14:textId="77777777" w:rsidR="00010BD2" w:rsidRDefault="00B82DB6">
      <w:pPr>
        <w:keepNext/>
        <w:jc w:val="center"/>
      </w:pPr>
      <w:r>
        <w:rPr>
          <w:noProof/>
        </w:rPr>
        <w:drawing>
          <wp:anchor distT="0" distB="0" distL="0" distR="0" simplePos="0" relativeHeight="251656704" behindDoc="0" locked="0" layoutInCell="0" allowOverlap="1" wp14:anchorId="5CB751AB" wp14:editId="5CB751AC">
            <wp:simplePos x="0" y="0"/>
            <wp:positionH relativeFrom="column">
              <wp:align>center</wp:align>
            </wp:positionH>
            <wp:positionV relativeFrom="paragraph">
              <wp:posOffset>635</wp:posOffset>
            </wp:positionV>
            <wp:extent cx="5939790" cy="26657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5939790" cy="2665730"/>
                    </a:xfrm>
                    <a:prstGeom prst="rect">
                      <a:avLst/>
                    </a:prstGeom>
                  </pic:spPr>
                </pic:pic>
              </a:graphicData>
            </a:graphic>
          </wp:anchor>
        </w:drawing>
      </w:r>
    </w:p>
    <w:p w14:paraId="5CB7502E" w14:textId="77777777" w:rsidR="00010BD2" w:rsidRDefault="00B82DB6">
      <w:pPr>
        <w:pStyle w:val="Caption"/>
        <w:jc w:val="center"/>
        <w:rPr>
          <w:color w:val="auto"/>
          <w:sz w:val="24"/>
          <w:szCs w:val="24"/>
        </w:rPr>
      </w:pPr>
      <w:bookmarkStart w:id="11" w:name="_Ref100592247"/>
      <w:r>
        <w:rPr>
          <w:color w:val="auto"/>
          <w:sz w:val="24"/>
          <w:szCs w:val="24"/>
        </w:rPr>
        <w:t xml:space="preserve">Figure </w:t>
      </w:r>
      <w:r>
        <w:rPr>
          <w:color w:val="auto"/>
          <w:sz w:val="24"/>
          <w:szCs w:val="24"/>
        </w:rPr>
        <w:fldChar w:fldCharType="begin"/>
      </w:r>
      <w:r>
        <w:rPr>
          <w:color w:val="auto"/>
          <w:sz w:val="24"/>
          <w:szCs w:val="24"/>
        </w:rPr>
        <w:instrText>SEQ Figure \* ARABIC</w:instrText>
      </w:r>
      <w:r>
        <w:rPr>
          <w:color w:val="auto"/>
          <w:sz w:val="24"/>
          <w:szCs w:val="24"/>
        </w:rPr>
        <w:fldChar w:fldCharType="separate"/>
      </w:r>
      <w:r>
        <w:rPr>
          <w:color w:val="auto"/>
          <w:sz w:val="24"/>
          <w:szCs w:val="24"/>
        </w:rPr>
        <w:t>2</w:t>
      </w:r>
      <w:r>
        <w:rPr>
          <w:color w:val="auto"/>
          <w:sz w:val="24"/>
          <w:szCs w:val="24"/>
        </w:rPr>
        <w:fldChar w:fldCharType="end"/>
      </w:r>
      <w:bookmarkEnd w:id="11"/>
      <w:r>
        <w:rPr>
          <w:color w:val="auto"/>
          <w:sz w:val="24"/>
          <w:szCs w:val="24"/>
        </w:rPr>
        <w:t xml:space="preserve"> - Reference Model of MPAI-AIF Extension</w:t>
      </w:r>
    </w:p>
    <w:p w14:paraId="5CB7502F" w14:textId="77777777" w:rsidR="00010BD2" w:rsidRDefault="00B82DB6">
      <w:r>
        <w:t>Implementation agnostic Trusted Services. High-level API to handle:</w:t>
      </w:r>
    </w:p>
    <w:p w14:paraId="5CB75030" w14:textId="77777777" w:rsidR="00010BD2" w:rsidRDefault="00B82DB6">
      <w:pPr>
        <w:pStyle w:val="ListParagraph"/>
        <w:numPr>
          <w:ilvl w:val="0"/>
          <w:numId w:val="11"/>
        </w:numPr>
      </w:pPr>
      <w:r>
        <w:t>Trusted Attestation Service.</w:t>
      </w:r>
    </w:p>
    <w:p w14:paraId="5CB75031" w14:textId="77777777" w:rsidR="00010BD2" w:rsidRDefault="00B82DB6">
      <w:pPr>
        <w:pStyle w:val="ListParagraph"/>
        <w:numPr>
          <w:ilvl w:val="0"/>
          <w:numId w:val="11"/>
        </w:numPr>
      </w:pPr>
      <w:r>
        <w:t>Trusted Communication Service.</w:t>
      </w:r>
    </w:p>
    <w:p w14:paraId="5CB75032" w14:textId="77777777" w:rsidR="00010BD2" w:rsidRDefault="00B82DB6">
      <w:pPr>
        <w:pStyle w:val="ListParagraph"/>
        <w:numPr>
          <w:ilvl w:val="0"/>
          <w:numId w:val="11"/>
        </w:numPr>
      </w:pPr>
      <w:r>
        <w:t>Trusted AIM Storage Service.</w:t>
      </w:r>
    </w:p>
    <w:p w14:paraId="5CB75033" w14:textId="77777777" w:rsidR="00010BD2" w:rsidRDefault="00B82DB6">
      <w:pPr>
        <w:pStyle w:val="ListParagraph"/>
        <w:numPr>
          <w:ilvl w:val="0"/>
          <w:numId w:val="11"/>
        </w:numPr>
        <w:rPr>
          <w:highlight w:val="yellow"/>
        </w:rPr>
      </w:pPr>
      <w:r>
        <w:rPr>
          <w:highlight w:val="yellow"/>
        </w:rPr>
        <w:t xml:space="preserve">Add: </w:t>
      </w:r>
    </w:p>
    <w:p w14:paraId="5CB75034" w14:textId="77777777" w:rsidR="00010BD2" w:rsidRDefault="00010BD2"/>
    <w:p w14:paraId="5CB75035" w14:textId="77777777" w:rsidR="00010BD2" w:rsidRDefault="00B82DB6">
      <w:r>
        <w:t xml:space="preserve">Look at the PSA Certified API </w:t>
      </w:r>
    </w:p>
    <w:p w14:paraId="5CB75036" w14:textId="77777777" w:rsidR="00010BD2" w:rsidRDefault="00B82DB6">
      <w:r>
        <w:t xml:space="preserve">Trusted Service Components. </w:t>
      </w:r>
    </w:p>
    <w:p w14:paraId="5CB75037" w14:textId="77777777" w:rsidR="00010BD2" w:rsidRDefault="00B82DB6">
      <w:pPr>
        <w:pStyle w:val="ListParagraph"/>
        <w:numPr>
          <w:ilvl w:val="0"/>
          <w:numId w:val="12"/>
        </w:numPr>
      </w:pPr>
      <w:r>
        <w:t>Crypto Engine.</w:t>
      </w:r>
    </w:p>
    <w:p w14:paraId="5CB75038" w14:textId="77777777" w:rsidR="00010BD2" w:rsidRDefault="00B82DB6">
      <w:pPr>
        <w:pStyle w:val="ListParagraph"/>
        <w:numPr>
          <w:ilvl w:val="0"/>
          <w:numId w:val="12"/>
        </w:numPr>
      </w:pPr>
      <w:r>
        <w:t>Technology (hardware/software) agnostic Encrypted Storage.</w:t>
      </w:r>
    </w:p>
    <w:p w14:paraId="5CB75039" w14:textId="77777777" w:rsidR="00010BD2" w:rsidRDefault="00B82DB6">
      <w:pPr>
        <w:pStyle w:val="ListParagraph"/>
        <w:numPr>
          <w:ilvl w:val="0"/>
          <w:numId w:val="12"/>
        </w:numPr>
      </w:pPr>
      <w:r>
        <w:t>Encrypted Communication Channel.</w:t>
      </w:r>
    </w:p>
    <w:p w14:paraId="5CB7503A" w14:textId="77777777" w:rsidR="00010BD2" w:rsidRDefault="00B82DB6">
      <w:pPr>
        <w:pStyle w:val="ListParagraph"/>
        <w:numPr>
          <w:ilvl w:val="0"/>
          <w:numId w:val="12"/>
        </w:numPr>
      </w:pPr>
      <w:r>
        <w:t>AIM Security Engine (Encryption, Signature, Watermarking).</w:t>
      </w:r>
    </w:p>
    <w:p w14:paraId="5CB7503B" w14:textId="77777777" w:rsidR="00010BD2" w:rsidRDefault="00B82DB6">
      <w:r>
        <w:t>Should we go deep into the details of Trusted Service Components?</w:t>
      </w:r>
    </w:p>
    <w:p w14:paraId="5CB7503C" w14:textId="77777777" w:rsidR="00010BD2" w:rsidRDefault="00010BD2"/>
    <w:p w14:paraId="5CB7503D" w14:textId="77777777" w:rsidR="00010BD2" w:rsidRDefault="00B82DB6">
      <w:r>
        <w:t>AIF may be considered as a Middleware.</w:t>
      </w:r>
    </w:p>
    <w:p w14:paraId="5CB7503E" w14:textId="77777777" w:rsidR="00010BD2" w:rsidRDefault="00010BD2"/>
    <w:p w14:paraId="5CB7503F" w14:textId="77777777" w:rsidR="00010BD2" w:rsidRDefault="00B82DB6">
      <w:r>
        <w:t>The security of the Global Storage Services needs to be investigated.</w:t>
      </w:r>
    </w:p>
    <w:p w14:paraId="5CB75040" w14:textId="77777777" w:rsidR="00010BD2" w:rsidRDefault="00010BD2"/>
    <w:p w14:paraId="5CB75041" w14:textId="77777777" w:rsidR="00010BD2" w:rsidRDefault="00B82DB6">
      <w:r>
        <w:t>The AIF relationship with the OS in terms of security is to be considered. The standard is agnostic of the means used by the OS to provide security.</w:t>
      </w:r>
    </w:p>
    <w:p w14:paraId="5CB75042" w14:textId="77777777" w:rsidR="00010BD2" w:rsidRDefault="00B82DB6">
      <w:r>
        <w:lastRenderedPageBreak/>
        <w:t>If the OS provides sufficient security, the OS security is used. Otherwise. the AIF can compensate the missing security.</w:t>
      </w:r>
    </w:p>
    <w:p w14:paraId="5CB75043" w14:textId="77777777" w:rsidR="00010BD2" w:rsidRDefault="00010BD2"/>
    <w:p w14:paraId="5CB75044" w14:textId="77777777" w:rsidR="00010BD2" w:rsidRDefault="00B82DB6">
      <w:r>
        <w:t>The AIF relationship with the OS in terms of Communication is to be considered. If the OS provides sufficient secure communication, that secure communication is used. Otherwise. the AIF can compensate the missing security.</w:t>
      </w:r>
    </w:p>
    <w:p w14:paraId="5CB75045" w14:textId="77777777" w:rsidR="00010BD2" w:rsidRDefault="00010BD2"/>
    <w:p w14:paraId="5CB75046" w14:textId="77777777" w:rsidR="00010BD2" w:rsidRDefault="00B82DB6">
      <w:r>
        <w:t>What is normative?</w:t>
      </w:r>
    </w:p>
    <w:p w14:paraId="5CB75047" w14:textId="77777777" w:rsidR="00010BD2" w:rsidRDefault="00B82DB6">
      <w:r>
        <w:t>Normative a la carte: A user should be able to select the level of security and its application to a particular component. Of course, this contradicts AIF V1.</w:t>
      </w:r>
    </w:p>
    <w:p w14:paraId="5CB75048" w14:textId="77777777" w:rsidR="00010BD2" w:rsidRDefault="00B82DB6">
      <w:r>
        <w:t>Metadata should convey the relevant information.</w:t>
      </w:r>
    </w:p>
    <w:p w14:paraId="5CB75049" w14:textId="77777777" w:rsidR="00010BD2" w:rsidRDefault="00B82DB6">
      <w:r>
        <w:t>Do we define the security levels? This was done in PSA.</w:t>
      </w:r>
    </w:p>
    <w:p w14:paraId="5CB7504A" w14:textId="77777777" w:rsidR="00010BD2" w:rsidRDefault="00B82DB6">
      <w:r>
        <w:t>Add metadata with security level, like it was done for the resources.</w:t>
      </w:r>
    </w:p>
    <w:p w14:paraId="5CB7504B" w14:textId="77777777" w:rsidR="00010BD2" w:rsidRDefault="00B82DB6">
      <w:r>
        <w:t xml:space="preserve">Requirements of an AIM security: computing, storage, communication, </w:t>
      </w:r>
      <w:proofErr w:type="gramStart"/>
      <w:r>
        <w:t>They</w:t>
      </w:r>
      <w:proofErr w:type="gramEnd"/>
      <w:r>
        <w:t xml:space="preserve"> are independent of one another and decided by the implementer.</w:t>
      </w:r>
    </w:p>
    <w:p w14:paraId="5CB7504C" w14:textId="77777777" w:rsidR="00010BD2" w:rsidRDefault="00010BD2"/>
    <w:p w14:paraId="5CB7504D" w14:textId="77777777" w:rsidR="00010BD2" w:rsidRDefault="00B82DB6">
      <w:r>
        <w:t>Normative parts:</w:t>
      </w:r>
    </w:p>
    <w:p w14:paraId="5CB7504E" w14:textId="77777777" w:rsidR="00010BD2" w:rsidRDefault="00B82DB6">
      <w:pPr>
        <w:pStyle w:val="ListParagraph"/>
        <w:numPr>
          <w:ilvl w:val="0"/>
          <w:numId w:val="13"/>
        </w:numPr>
      </w:pPr>
      <w:r>
        <w:t>Normative à la carte, a developer selects security components, what to protect (e.g., communication, storage, AI models.) and the standard provides the means to signal the developer’s choices.</w:t>
      </w:r>
    </w:p>
    <w:p w14:paraId="5CB7504F" w14:textId="77777777" w:rsidR="00010BD2" w:rsidRDefault="00B82DB6">
      <w:pPr>
        <w:pStyle w:val="ListParagraph"/>
        <w:numPr>
          <w:ilvl w:val="1"/>
          <w:numId w:val="13"/>
        </w:numPr>
      </w:pPr>
      <w:r>
        <w:t xml:space="preserve">The AIF implementer makes the AIF such that it parses the JSON metadata, understands the security </w:t>
      </w:r>
      <w:proofErr w:type="gramStart"/>
      <w:r>
        <w:t>choices</w:t>
      </w:r>
      <w:proofErr w:type="gramEnd"/>
      <w:r>
        <w:t xml:space="preserve"> and instantiates or not the AIW. It yes, its parses the AIW and loads the AIM if its security complies with the security signalled in the metadata.</w:t>
      </w:r>
    </w:p>
    <w:p w14:paraId="5CB75050" w14:textId="77777777" w:rsidR="00010BD2" w:rsidRDefault="00010BD2"/>
    <w:p w14:paraId="5CB75051" w14:textId="77777777" w:rsidR="00010BD2" w:rsidRDefault="00B82DB6">
      <w:r>
        <w:t>Which is the depth at which we need to provide security?</w:t>
      </w:r>
    </w:p>
    <w:p w14:paraId="5CB75052" w14:textId="77777777" w:rsidR="00010BD2" w:rsidRDefault="00010BD2"/>
    <w:p w14:paraId="5CB75053" w14:textId="77777777" w:rsidR="00010BD2" w:rsidRDefault="00010BD2"/>
    <w:p w14:paraId="5CB75054" w14:textId="77777777" w:rsidR="00010BD2" w:rsidRDefault="00010BD2"/>
    <w:p w14:paraId="5CB75055" w14:textId="77777777" w:rsidR="00010BD2" w:rsidRDefault="00B82DB6">
      <w:r>
        <w:t>The following are the expected additional functionalities expressed through APIs</w:t>
      </w:r>
    </w:p>
    <w:p w14:paraId="5CB75056" w14:textId="77777777" w:rsidR="00010BD2" w:rsidRDefault="00B82DB6">
      <w:pPr>
        <w:pStyle w:val="ListParagraph"/>
        <w:numPr>
          <w:ilvl w:val="0"/>
          <w:numId w:val="10"/>
        </w:numPr>
      </w:pPr>
      <w:r>
        <w:t>The extension of AIF to support Trusted Services</w:t>
      </w:r>
    </w:p>
    <w:p w14:paraId="5CB75057" w14:textId="77777777" w:rsidR="00010BD2" w:rsidRDefault="00B82DB6">
      <w:pPr>
        <w:pStyle w:val="ListParagraph"/>
        <w:numPr>
          <w:ilvl w:val="1"/>
          <w:numId w:val="10"/>
        </w:numPr>
      </w:pPr>
      <w:r>
        <w:t xml:space="preserve">Trusted Services component </w:t>
      </w:r>
    </w:p>
    <w:p w14:paraId="5CB75058" w14:textId="77777777" w:rsidR="00010BD2" w:rsidRDefault="00B82DB6">
      <w:pPr>
        <w:pStyle w:val="ListParagraph"/>
        <w:numPr>
          <w:ilvl w:val="2"/>
          <w:numId w:val="10"/>
        </w:numPr>
      </w:pPr>
      <w:r>
        <w:t>Provided by the MCU/CPU</w:t>
      </w:r>
    </w:p>
    <w:p w14:paraId="5CB75059" w14:textId="77777777" w:rsidR="00010BD2" w:rsidRDefault="00B82DB6">
      <w:pPr>
        <w:pStyle w:val="ListParagraph"/>
        <w:numPr>
          <w:ilvl w:val="2"/>
          <w:numId w:val="10"/>
        </w:numPr>
      </w:pPr>
      <w:r>
        <w:t>Mediated through the OS</w:t>
      </w:r>
    </w:p>
    <w:p w14:paraId="5CB7505A" w14:textId="77777777" w:rsidR="00010BD2" w:rsidRDefault="00B82DB6">
      <w:pPr>
        <w:pStyle w:val="ListParagraph"/>
        <w:numPr>
          <w:ilvl w:val="1"/>
          <w:numId w:val="10"/>
        </w:numPr>
      </w:pPr>
      <w:r>
        <w:t>Crypto Services enable Trusted Services</w:t>
      </w:r>
    </w:p>
    <w:p w14:paraId="5CB7505B" w14:textId="77777777" w:rsidR="00010BD2" w:rsidRDefault="00B82DB6">
      <w:pPr>
        <w:pStyle w:val="ListParagraph"/>
        <w:numPr>
          <w:ilvl w:val="0"/>
          <w:numId w:val="10"/>
        </w:numPr>
      </w:pPr>
      <w:r>
        <w:t>The API exposed by the Trusted Services component</w:t>
      </w:r>
    </w:p>
    <w:p w14:paraId="5CB7505C" w14:textId="77777777" w:rsidR="00010BD2" w:rsidRDefault="00B82DB6">
      <w:pPr>
        <w:pStyle w:val="ListParagraph"/>
        <w:numPr>
          <w:ilvl w:val="1"/>
          <w:numId w:val="10"/>
        </w:numPr>
      </w:pPr>
      <w:r>
        <w:t>Services are limited to the crypto (enc-dec) functionality (API on the right-hand side)</w:t>
      </w:r>
    </w:p>
    <w:p w14:paraId="5CB7505D" w14:textId="77777777" w:rsidR="00010BD2" w:rsidRDefault="00B82DB6">
      <w:pPr>
        <w:pStyle w:val="ListParagraph"/>
        <w:numPr>
          <w:ilvl w:val="1"/>
          <w:numId w:val="10"/>
        </w:numPr>
      </w:pPr>
      <w:r>
        <w:t>All services supported by the Trusted Services component (API on the left-hand side)</w:t>
      </w:r>
    </w:p>
    <w:p w14:paraId="5CB7505E" w14:textId="77777777" w:rsidR="00010BD2" w:rsidRDefault="00B82DB6">
      <w:pPr>
        <w:pStyle w:val="ListParagraph"/>
        <w:numPr>
          <w:ilvl w:val="1"/>
          <w:numId w:val="10"/>
        </w:numPr>
      </w:pPr>
      <w:r>
        <w:t>Get inspiration from PSA to define Trusted Services API Requirements</w:t>
      </w:r>
    </w:p>
    <w:p w14:paraId="5CB7505F" w14:textId="77777777" w:rsidR="00010BD2" w:rsidRDefault="00B82DB6">
      <w:pPr>
        <w:pStyle w:val="ListParagraph"/>
        <w:numPr>
          <w:ilvl w:val="0"/>
          <w:numId w:val="10"/>
        </w:numPr>
      </w:pPr>
      <w:r>
        <w:t>The extension of the current AIF services to support</w:t>
      </w:r>
    </w:p>
    <w:p w14:paraId="5CB75060" w14:textId="77777777" w:rsidR="00010BD2" w:rsidRDefault="00B82DB6">
      <w:pPr>
        <w:pStyle w:val="ListParagraph"/>
        <w:numPr>
          <w:ilvl w:val="1"/>
          <w:numId w:val="10"/>
        </w:numPr>
      </w:pPr>
      <w:r>
        <w:t>Secure communication</w:t>
      </w:r>
    </w:p>
    <w:p w14:paraId="5CB75061" w14:textId="77777777" w:rsidR="00010BD2" w:rsidRDefault="00B82DB6">
      <w:pPr>
        <w:pStyle w:val="ListParagraph"/>
        <w:numPr>
          <w:ilvl w:val="1"/>
          <w:numId w:val="10"/>
        </w:numPr>
      </w:pPr>
      <w:r>
        <w:t>Secure storage</w:t>
      </w:r>
    </w:p>
    <w:p w14:paraId="5CB75062" w14:textId="77777777" w:rsidR="00010BD2" w:rsidRDefault="00B82DB6">
      <w:pPr>
        <w:pStyle w:val="ListParagraph"/>
        <w:numPr>
          <w:ilvl w:val="1"/>
          <w:numId w:val="10"/>
        </w:numPr>
      </w:pPr>
      <w:commentRangeStart w:id="12"/>
      <w:r>
        <w:t>Secure signing of AI Modules, e.g.,</w:t>
      </w:r>
      <w:commentRangeEnd w:id="12"/>
      <w:r>
        <w:commentReference w:id="12"/>
      </w:r>
    </w:p>
    <w:p w14:paraId="5CB75063" w14:textId="77777777" w:rsidR="00010BD2" w:rsidRDefault="00B82DB6">
      <w:pPr>
        <w:pStyle w:val="ListParagraph"/>
        <w:numPr>
          <w:ilvl w:val="2"/>
          <w:numId w:val="10"/>
        </w:numPr>
      </w:pPr>
      <w:r>
        <w:t>Watermarking (decoded by the watermark decoder, e.g., by the Controller)</w:t>
      </w:r>
    </w:p>
    <w:p w14:paraId="5CB75064" w14:textId="77777777" w:rsidR="00010BD2" w:rsidRDefault="00B82DB6">
      <w:pPr>
        <w:pStyle w:val="ListParagraph"/>
        <w:numPr>
          <w:ilvl w:val="2"/>
          <w:numId w:val="10"/>
        </w:numPr>
      </w:pPr>
      <w:r>
        <w:t>Encryption of the AI Modules</w:t>
      </w:r>
    </w:p>
    <w:p w14:paraId="5CB75065" w14:textId="77777777" w:rsidR="00010BD2" w:rsidRDefault="00B82DB6">
      <w:pPr>
        <w:pStyle w:val="ListParagraph"/>
        <w:numPr>
          <w:ilvl w:val="1"/>
          <w:numId w:val="10"/>
        </w:numPr>
      </w:pPr>
      <w:r>
        <w:t>Secure interface with the MPAI Store</w:t>
      </w:r>
    </w:p>
    <w:p w14:paraId="5CB75066" w14:textId="77777777" w:rsidR="00010BD2" w:rsidRDefault="00B82DB6">
      <w:pPr>
        <w:pStyle w:val="ListParagraph"/>
        <w:numPr>
          <w:ilvl w:val="0"/>
          <w:numId w:val="10"/>
        </w:numPr>
      </w:pPr>
      <w:r>
        <w:t>Extension of metadata specification</w:t>
      </w:r>
    </w:p>
    <w:p w14:paraId="5CB75067" w14:textId="77777777" w:rsidR="00010BD2" w:rsidRDefault="00B82DB6">
      <w:pPr>
        <w:pStyle w:val="ListParagraph"/>
        <w:numPr>
          <w:ilvl w:val="1"/>
          <w:numId w:val="10"/>
        </w:numPr>
      </w:pPr>
      <w:r>
        <w:t>Availability of Trusted services y/n</w:t>
      </w:r>
    </w:p>
    <w:p w14:paraId="5CB75068" w14:textId="77777777" w:rsidR="00010BD2" w:rsidRDefault="00B82DB6">
      <w:pPr>
        <w:pStyle w:val="ListParagraph"/>
        <w:numPr>
          <w:ilvl w:val="1"/>
          <w:numId w:val="10"/>
        </w:numPr>
      </w:pPr>
      <w:r>
        <w:t>List of Secure Services</w:t>
      </w:r>
    </w:p>
    <w:p w14:paraId="5CB75069" w14:textId="77777777" w:rsidR="00010BD2" w:rsidRDefault="00B82DB6">
      <w:pPr>
        <w:pStyle w:val="ListParagraph"/>
        <w:numPr>
          <w:ilvl w:val="0"/>
          <w:numId w:val="10"/>
        </w:numPr>
      </w:pPr>
      <w:r>
        <w:t xml:space="preserve">Policy management for running in secure and non-secure </w:t>
      </w:r>
      <w:commentRangeStart w:id="13"/>
      <w:r>
        <w:t>mode</w:t>
      </w:r>
      <w:commentRangeEnd w:id="13"/>
      <w:r>
        <w:commentReference w:id="13"/>
      </w:r>
    </w:p>
    <w:p w14:paraId="5CB7506A" w14:textId="77777777" w:rsidR="00010BD2" w:rsidRDefault="00010BD2"/>
    <w:p w14:paraId="5CB7506B" w14:textId="77777777" w:rsidR="00010BD2" w:rsidRDefault="00B82DB6">
      <w:pPr>
        <w:pStyle w:val="Heading1"/>
        <w:jc w:val="both"/>
      </w:pPr>
      <w:bookmarkStart w:id="14" w:name="_Toc101799302"/>
      <w:r>
        <w:lastRenderedPageBreak/>
        <w:t>References</w:t>
      </w:r>
      <w:bookmarkEnd w:id="14"/>
    </w:p>
    <w:p w14:paraId="5CB7506C" w14:textId="77777777" w:rsidR="00010BD2" w:rsidRDefault="00B82DB6">
      <w:pPr>
        <w:pStyle w:val="Heading2"/>
      </w:pPr>
      <w:bookmarkStart w:id="15" w:name="_Toc101799303"/>
      <w:r>
        <w:t>Normative</w:t>
      </w:r>
      <w:r>
        <w:rPr>
          <w:lang w:val="en-GB"/>
        </w:rPr>
        <w:t xml:space="preserve"> References</w:t>
      </w:r>
      <w:bookmarkEnd w:id="15"/>
    </w:p>
    <w:p w14:paraId="5CB7506D" w14:textId="77777777" w:rsidR="00010BD2" w:rsidRDefault="00B82DB6">
      <w:pPr>
        <w:jc w:val="both"/>
      </w:pPr>
      <w:r>
        <w:t>MPAI-AIF V2 will normatively reference the following documents:</w:t>
      </w:r>
    </w:p>
    <w:p w14:paraId="5CB7506E" w14:textId="77777777" w:rsidR="00010BD2" w:rsidRDefault="00B82DB6">
      <w:pPr>
        <w:numPr>
          <w:ilvl w:val="0"/>
          <w:numId w:val="4"/>
        </w:numPr>
        <w:jc w:val="both"/>
        <w:rPr>
          <w:rFonts w:eastAsia="Times New Roman"/>
          <w:color w:val="000000"/>
        </w:rPr>
      </w:pPr>
      <w:bookmarkStart w:id="16" w:name="_Ref81667717"/>
      <w:bookmarkStart w:id="17" w:name="_Ref81671963"/>
      <w:r>
        <w:rPr>
          <w:rFonts w:eastAsia="Times New Roman"/>
          <w:color w:val="000000"/>
        </w:rPr>
        <w:t xml:space="preserve">The Governance of the MPAI Ecosystem (MPAI-GME), </w:t>
      </w:r>
      <w:bookmarkEnd w:id="16"/>
      <w:r>
        <w:rPr>
          <w:rFonts w:eastAsia="Times New Roman"/>
          <w:color w:val="000000"/>
        </w:rPr>
        <w:t>https://bit.ly/3jJMhwL.</w:t>
      </w:r>
      <w:bookmarkEnd w:id="17"/>
    </w:p>
    <w:p w14:paraId="5CB7506F" w14:textId="77777777" w:rsidR="00010BD2" w:rsidRDefault="00B82DB6">
      <w:pPr>
        <w:numPr>
          <w:ilvl w:val="0"/>
          <w:numId w:val="4"/>
        </w:numPr>
        <w:jc w:val="both"/>
        <w:rPr>
          <w:rFonts w:eastAsia="Times New Roman"/>
          <w:color w:val="000000"/>
        </w:rPr>
      </w:pPr>
      <w:bookmarkStart w:id="18" w:name="_Ref81667138"/>
      <w:bookmarkStart w:id="19" w:name="_Ref101088404"/>
      <w:r>
        <w:rPr>
          <w:rFonts w:eastAsia="Times New Roman"/>
          <w:color w:val="000000"/>
        </w:rPr>
        <w:t xml:space="preserve">Technical Specification: AI Framework (MPAI-AIF) V1, </w:t>
      </w:r>
      <w:bookmarkEnd w:id="18"/>
      <w:r>
        <w:rPr>
          <w:rFonts w:eastAsia="Times New Roman"/>
          <w:color w:val="000000"/>
        </w:rPr>
        <w:t>https://bit.ly/3KOXXdp.</w:t>
      </w:r>
      <w:bookmarkEnd w:id="19"/>
    </w:p>
    <w:p w14:paraId="5CB75070" w14:textId="77777777" w:rsidR="00010BD2" w:rsidRDefault="00B82DB6">
      <w:pPr>
        <w:pStyle w:val="Heading2"/>
      </w:pPr>
      <w:bookmarkStart w:id="20" w:name="_Toc101799304"/>
      <w:r>
        <w:rPr>
          <w:lang w:val="en-GB"/>
        </w:rPr>
        <w:t>Inf</w:t>
      </w:r>
      <w:r>
        <w:t>ormative</w:t>
      </w:r>
      <w:r>
        <w:rPr>
          <w:lang w:val="en-GB"/>
        </w:rPr>
        <w:t xml:space="preserve"> References</w:t>
      </w:r>
      <w:bookmarkEnd w:id="20"/>
    </w:p>
    <w:p w14:paraId="5CB75071" w14:textId="77777777" w:rsidR="00010BD2" w:rsidRDefault="00010BD2">
      <w:pPr>
        <w:jc w:val="both"/>
      </w:pPr>
    </w:p>
    <w:p w14:paraId="5CB75072" w14:textId="77777777" w:rsidR="00010BD2" w:rsidRDefault="00010BD2"/>
    <w:p w14:paraId="5CB75073" w14:textId="77777777" w:rsidR="00010BD2" w:rsidRDefault="00B82DB6">
      <w:pPr>
        <w:rPr>
          <w:rFonts w:cs="Arial"/>
          <w:b/>
          <w:bCs/>
          <w:kern w:val="2"/>
          <w:sz w:val="28"/>
          <w:szCs w:val="32"/>
          <w:lang w:val="en-US"/>
        </w:rPr>
      </w:pPr>
      <w:r>
        <w:br w:type="page"/>
      </w:r>
    </w:p>
    <w:p w14:paraId="5CB75074" w14:textId="77777777" w:rsidR="00010BD2" w:rsidRDefault="00B82DB6">
      <w:pPr>
        <w:pStyle w:val="Heading1"/>
        <w:numPr>
          <w:ilvl w:val="0"/>
          <w:numId w:val="0"/>
        </w:numPr>
        <w:ind w:left="432" w:hanging="432"/>
        <w:jc w:val="center"/>
        <w:rPr>
          <w:lang w:val="en-US"/>
        </w:rPr>
      </w:pPr>
      <w:bookmarkStart w:id="21" w:name="_Toc80531348"/>
      <w:bookmarkStart w:id="22" w:name="_Toc80217730"/>
      <w:bookmarkStart w:id="23" w:name="_Toc101799305"/>
      <w:r>
        <w:rPr>
          <w:lang w:val="en-US"/>
        </w:rPr>
        <w:lastRenderedPageBreak/>
        <w:t>Annex 1 – MPAI-wide terms and definitions</w:t>
      </w:r>
      <w:bookmarkEnd w:id="21"/>
      <w:bookmarkEnd w:id="22"/>
      <w:bookmarkEnd w:id="23"/>
    </w:p>
    <w:p w14:paraId="5CB75075" w14:textId="77777777" w:rsidR="00010BD2" w:rsidRDefault="00B82DB6">
      <w:pPr>
        <w:jc w:val="both"/>
        <w:rPr>
          <w:i/>
          <w:lang w:val="en-US"/>
        </w:rPr>
      </w:pPr>
      <w:r>
        <w:rPr>
          <w:lang w:val="en-US"/>
        </w:rPr>
        <w:t xml:space="preserve">The Terms used in this standard whose first letter is capital and are not already included in </w:t>
      </w:r>
      <w:r>
        <w:rPr>
          <w:i/>
          <w:lang w:val="en-US"/>
        </w:rPr>
        <w:t>Table 1</w:t>
      </w:r>
      <w:r>
        <w:rPr>
          <w:iCs/>
          <w:lang w:val="en-US"/>
        </w:rPr>
        <w:t xml:space="preserve"> </w:t>
      </w:r>
      <w:r>
        <w:rPr>
          <w:lang w:val="en-US"/>
        </w:rPr>
        <w:t xml:space="preserve">are defined in </w:t>
      </w:r>
      <w:r>
        <w:fldChar w:fldCharType="begin"/>
      </w:r>
      <w:r>
        <w:instrText>REF _Ref79761075 \h</w:instrText>
      </w:r>
      <w:r>
        <w:fldChar w:fldCharType="separate"/>
      </w:r>
      <w:r>
        <w:t>Table 2</w:t>
      </w:r>
      <w:r>
        <w:fldChar w:fldCharType="end"/>
      </w:r>
      <w:r>
        <w:rPr>
          <w:i/>
          <w:lang w:val="en-US"/>
        </w:rPr>
        <w:t>.</w:t>
      </w:r>
    </w:p>
    <w:p w14:paraId="5CB75076" w14:textId="77777777" w:rsidR="00010BD2" w:rsidRDefault="00010BD2">
      <w:pPr>
        <w:jc w:val="both"/>
        <w:rPr>
          <w:i/>
          <w:lang w:val="en-US"/>
        </w:rPr>
      </w:pPr>
    </w:p>
    <w:p w14:paraId="5CB75077" w14:textId="77777777" w:rsidR="00010BD2" w:rsidRDefault="00B82DB6">
      <w:pPr>
        <w:jc w:val="center"/>
        <w:rPr>
          <w:i/>
        </w:rPr>
      </w:pPr>
      <w:bookmarkStart w:id="24" w:name="_Ref79761075"/>
      <w:r>
        <w:rPr>
          <w:i/>
          <w:iCs/>
        </w:rPr>
        <w:t xml:space="preserve">Table </w:t>
      </w:r>
      <w:r>
        <w:rPr>
          <w:i/>
          <w:iCs/>
        </w:rPr>
        <w:fldChar w:fldCharType="begin"/>
      </w:r>
      <w:r>
        <w:rPr>
          <w:i/>
          <w:iCs/>
        </w:rPr>
        <w:instrText>SEQ Table \* ARABIC</w:instrText>
      </w:r>
      <w:r>
        <w:rPr>
          <w:i/>
          <w:iCs/>
        </w:rPr>
        <w:fldChar w:fldCharType="separate"/>
      </w:r>
      <w:r>
        <w:rPr>
          <w:i/>
          <w:iCs/>
        </w:rPr>
        <w:t>2</w:t>
      </w:r>
      <w:r>
        <w:rPr>
          <w:i/>
          <w:iCs/>
        </w:rPr>
        <w:fldChar w:fldCharType="end"/>
      </w:r>
      <w:bookmarkEnd w:id="24"/>
      <w:r>
        <w:rPr>
          <w:i/>
          <w:iCs/>
        </w:rPr>
        <w:t xml:space="preserve"> – </w:t>
      </w:r>
      <w:r>
        <w:rPr>
          <w:i/>
        </w:rPr>
        <w:t>MPAI-wide Terms</w:t>
      </w:r>
    </w:p>
    <w:p w14:paraId="5CB75078" w14:textId="77777777" w:rsidR="00010BD2" w:rsidRDefault="00010BD2"/>
    <w:tbl>
      <w:tblPr>
        <w:tblStyle w:val="TableGrid"/>
        <w:tblW w:w="9345" w:type="dxa"/>
        <w:jc w:val="center"/>
        <w:tblLayout w:type="fixed"/>
        <w:tblLook w:val="04A0" w:firstRow="1" w:lastRow="0" w:firstColumn="1" w:lastColumn="0" w:noHBand="0" w:noVBand="1"/>
      </w:tblPr>
      <w:tblGrid>
        <w:gridCol w:w="2079"/>
        <w:gridCol w:w="7266"/>
      </w:tblGrid>
      <w:tr w:rsidR="00010BD2" w14:paraId="5CB7507B" w14:textId="77777777">
        <w:trPr>
          <w:jc w:val="center"/>
        </w:trPr>
        <w:tc>
          <w:tcPr>
            <w:tcW w:w="2079" w:type="dxa"/>
          </w:tcPr>
          <w:p w14:paraId="5CB75079" w14:textId="77777777" w:rsidR="00010BD2" w:rsidRDefault="00B82DB6">
            <w:pPr>
              <w:jc w:val="center"/>
              <w:rPr>
                <w:b/>
                <w:bCs/>
              </w:rPr>
            </w:pPr>
            <w:bookmarkStart w:id="25" w:name="_Hlk81672504"/>
            <w:bookmarkStart w:id="26" w:name="_Hlk81989294"/>
            <w:bookmarkEnd w:id="25"/>
            <w:bookmarkEnd w:id="26"/>
            <w:r>
              <w:rPr>
                <w:b/>
                <w:bCs/>
              </w:rPr>
              <w:t>Term</w:t>
            </w:r>
          </w:p>
        </w:tc>
        <w:tc>
          <w:tcPr>
            <w:tcW w:w="7265" w:type="dxa"/>
          </w:tcPr>
          <w:p w14:paraId="5CB7507A" w14:textId="77777777" w:rsidR="00010BD2" w:rsidRDefault="00B82DB6">
            <w:pPr>
              <w:jc w:val="center"/>
              <w:rPr>
                <w:b/>
                <w:bCs/>
              </w:rPr>
            </w:pPr>
            <w:r>
              <w:rPr>
                <w:b/>
                <w:bCs/>
              </w:rPr>
              <w:t>Definition</w:t>
            </w:r>
          </w:p>
        </w:tc>
      </w:tr>
      <w:tr w:rsidR="00010BD2" w14:paraId="5CB7507E" w14:textId="77777777">
        <w:trPr>
          <w:jc w:val="center"/>
        </w:trPr>
        <w:tc>
          <w:tcPr>
            <w:tcW w:w="2079" w:type="dxa"/>
          </w:tcPr>
          <w:p w14:paraId="5CB7507C" w14:textId="77777777" w:rsidR="00010BD2" w:rsidRDefault="00B82DB6">
            <w:r>
              <w:t>Access</w:t>
            </w:r>
          </w:p>
        </w:tc>
        <w:tc>
          <w:tcPr>
            <w:tcW w:w="7265" w:type="dxa"/>
          </w:tcPr>
          <w:p w14:paraId="5CB7507D" w14:textId="77777777" w:rsidR="00010BD2" w:rsidRDefault="00B82DB6">
            <w:pPr>
              <w:jc w:val="both"/>
              <w:rPr>
                <w:lang w:val="en-US"/>
              </w:rPr>
            </w:pPr>
            <w:r>
              <w:t>Static or slowly changing data that are required by an application such as domain knowledge data, data models, etc.</w:t>
            </w:r>
          </w:p>
        </w:tc>
      </w:tr>
      <w:tr w:rsidR="00010BD2" w14:paraId="5CB75081" w14:textId="77777777">
        <w:trPr>
          <w:jc w:val="center"/>
        </w:trPr>
        <w:tc>
          <w:tcPr>
            <w:tcW w:w="2079" w:type="dxa"/>
          </w:tcPr>
          <w:p w14:paraId="5CB7507F" w14:textId="77777777" w:rsidR="00010BD2" w:rsidRDefault="00B82DB6">
            <w:pPr>
              <w:rPr>
                <w:b/>
                <w:bCs/>
              </w:rPr>
            </w:pPr>
            <w:r>
              <w:t>AI Framework (AIF)</w:t>
            </w:r>
          </w:p>
        </w:tc>
        <w:tc>
          <w:tcPr>
            <w:tcW w:w="7265" w:type="dxa"/>
          </w:tcPr>
          <w:p w14:paraId="5CB75080" w14:textId="77777777" w:rsidR="00010BD2" w:rsidRDefault="00B82DB6">
            <w:pPr>
              <w:jc w:val="both"/>
              <w:rPr>
                <w:b/>
                <w:bCs/>
                <w:lang w:val="en-US"/>
              </w:rPr>
            </w:pPr>
            <w:r>
              <w:rPr>
                <w:lang w:val="en-US"/>
              </w:rPr>
              <w:t>The environment where AIWs are executed.</w:t>
            </w:r>
          </w:p>
        </w:tc>
      </w:tr>
      <w:tr w:rsidR="00010BD2" w14:paraId="5CB75084" w14:textId="77777777">
        <w:trPr>
          <w:jc w:val="center"/>
        </w:trPr>
        <w:tc>
          <w:tcPr>
            <w:tcW w:w="2079" w:type="dxa"/>
          </w:tcPr>
          <w:p w14:paraId="5CB75082" w14:textId="77777777" w:rsidR="00010BD2" w:rsidRDefault="00B82DB6">
            <w:r>
              <w:t>AI Module (AIM)</w:t>
            </w:r>
          </w:p>
        </w:tc>
        <w:tc>
          <w:tcPr>
            <w:tcW w:w="7265" w:type="dxa"/>
          </w:tcPr>
          <w:p w14:paraId="5CB75083" w14:textId="77777777" w:rsidR="00010BD2" w:rsidRDefault="00B82DB6">
            <w:pPr>
              <w:jc w:val="both"/>
              <w:rPr>
                <w:lang w:val="en-US"/>
              </w:rPr>
            </w:pPr>
            <w:bookmarkStart w:id="27" w:name="_Hlk84684841"/>
            <w:r>
              <w:t>A processing element receiving AIM-specific Inputs and producing AIM-specific Outputs according to according to its Function. An AIM may be an aggregation of AIMs.</w:t>
            </w:r>
            <w:bookmarkEnd w:id="27"/>
          </w:p>
        </w:tc>
      </w:tr>
      <w:tr w:rsidR="00010BD2" w14:paraId="5CB75087" w14:textId="77777777">
        <w:trPr>
          <w:jc w:val="center"/>
        </w:trPr>
        <w:tc>
          <w:tcPr>
            <w:tcW w:w="2079" w:type="dxa"/>
          </w:tcPr>
          <w:p w14:paraId="5CB75085" w14:textId="77777777" w:rsidR="00010BD2" w:rsidRDefault="00B82DB6">
            <w:r>
              <w:t>AI Workflow (AIW)</w:t>
            </w:r>
          </w:p>
        </w:tc>
        <w:tc>
          <w:tcPr>
            <w:tcW w:w="7265" w:type="dxa"/>
          </w:tcPr>
          <w:p w14:paraId="5CB75086" w14:textId="77777777" w:rsidR="00010BD2" w:rsidRDefault="00B82DB6">
            <w:pPr>
              <w:jc w:val="both"/>
              <w:rPr>
                <w:lang w:val="en-US"/>
              </w:rPr>
            </w:pPr>
            <w:r>
              <w:t>A structured aggregation of AIMs implementing a Use Case receiving AIW-specific inputs and producing AIW-specific inputs according to its Function.</w:t>
            </w:r>
          </w:p>
        </w:tc>
      </w:tr>
      <w:tr w:rsidR="00010BD2" w14:paraId="5CB7508A" w14:textId="77777777">
        <w:trPr>
          <w:jc w:val="center"/>
        </w:trPr>
        <w:tc>
          <w:tcPr>
            <w:tcW w:w="2079" w:type="dxa"/>
          </w:tcPr>
          <w:p w14:paraId="5CB75088" w14:textId="77777777" w:rsidR="00010BD2" w:rsidRDefault="00B82DB6">
            <w:r>
              <w:t>AIF Metadata</w:t>
            </w:r>
          </w:p>
        </w:tc>
        <w:tc>
          <w:tcPr>
            <w:tcW w:w="7265" w:type="dxa"/>
          </w:tcPr>
          <w:p w14:paraId="5CB75089" w14:textId="77777777" w:rsidR="00010BD2" w:rsidRDefault="00B82DB6">
            <w:pPr>
              <w:jc w:val="both"/>
            </w:pPr>
            <w:r>
              <w:t>The data set describing the capabilities of an AIF set by the AIF Implem</w:t>
            </w:r>
            <w:r>
              <w:softHyphen/>
              <w:t>enter.</w:t>
            </w:r>
          </w:p>
        </w:tc>
      </w:tr>
      <w:tr w:rsidR="00010BD2" w14:paraId="5CB7508D" w14:textId="77777777">
        <w:trPr>
          <w:jc w:val="center"/>
        </w:trPr>
        <w:tc>
          <w:tcPr>
            <w:tcW w:w="2079" w:type="dxa"/>
          </w:tcPr>
          <w:p w14:paraId="5CB7508B" w14:textId="77777777" w:rsidR="00010BD2" w:rsidRDefault="00B82DB6">
            <w:r>
              <w:t>AIM Metadata</w:t>
            </w:r>
          </w:p>
        </w:tc>
        <w:tc>
          <w:tcPr>
            <w:tcW w:w="7265" w:type="dxa"/>
          </w:tcPr>
          <w:p w14:paraId="5CB7508C" w14:textId="77777777" w:rsidR="00010BD2" w:rsidRDefault="00B82DB6">
            <w:pPr>
              <w:jc w:val="both"/>
            </w:pPr>
            <w:r>
              <w:t>The data set describing the capabilities of an AIM set by the AIM Implem</w:t>
            </w:r>
            <w:r>
              <w:softHyphen/>
              <w:t>enter.</w:t>
            </w:r>
          </w:p>
        </w:tc>
      </w:tr>
      <w:tr w:rsidR="00010BD2" w14:paraId="5CB75090" w14:textId="77777777">
        <w:trPr>
          <w:jc w:val="center"/>
        </w:trPr>
        <w:tc>
          <w:tcPr>
            <w:tcW w:w="2079" w:type="dxa"/>
          </w:tcPr>
          <w:p w14:paraId="5CB7508E" w14:textId="77777777" w:rsidR="00010BD2" w:rsidRDefault="00B82DB6">
            <w:r>
              <w:rPr>
                <w:lang w:val="en-US"/>
              </w:rPr>
              <w:t>Application Programming Interface (API)</w:t>
            </w:r>
          </w:p>
        </w:tc>
        <w:tc>
          <w:tcPr>
            <w:tcW w:w="7265" w:type="dxa"/>
          </w:tcPr>
          <w:p w14:paraId="5CB7508F" w14:textId="77777777" w:rsidR="00010BD2" w:rsidRDefault="00B82DB6">
            <w:pPr>
              <w:jc w:val="both"/>
            </w:pPr>
            <w:r>
              <w:t>A software interface that allows two applications to talk to each other</w:t>
            </w:r>
          </w:p>
        </w:tc>
      </w:tr>
      <w:tr w:rsidR="00010BD2" w14:paraId="5CB75093" w14:textId="77777777">
        <w:trPr>
          <w:jc w:val="center"/>
        </w:trPr>
        <w:tc>
          <w:tcPr>
            <w:tcW w:w="2079" w:type="dxa"/>
          </w:tcPr>
          <w:p w14:paraId="5CB75091" w14:textId="77777777" w:rsidR="00010BD2" w:rsidRDefault="00B82DB6">
            <w:bookmarkStart w:id="28" w:name="_Hlk88845579"/>
            <w:bookmarkEnd w:id="28"/>
            <w:r>
              <w:t xml:space="preserve">Application Standard </w:t>
            </w:r>
          </w:p>
        </w:tc>
        <w:tc>
          <w:tcPr>
            <w:tcW w:w="7265" w:type="dxa"/>
          </w:tcPr>
          <w:p w14:paraId="5CB75092" w14:textId="77777777" w:rsidR="00010BD2" w:rsidRDefault="00B82DB6">
            <w:pPr>
              <w:jc w:val="both"/>
              <w:rPr>
                <w:lang w:val="en-US"/>
              </w:rPr>
            </w:pPr>
            <w:r>
              <w:t>An MPAI Standard specifying AIWs, AIMs, Topologies and Formats suitable for a particular application domain.</w:t>
            </w:r>
            <w:bookmarkStart w:id="29" w:name="_Hlk88845615"/>
            <w:bookmarkEnd w:id="29"/>
          </w:p>
        </w:tc>
      </w:tr>
      <w:tr w:rsidR="00010BD2" w14:paraId="5CB75096" w14:textId="77777777">
        <w:trPr>
          <w:jc w:val="center"/>
        </w:trPr>
        <w:tc>
          <w:tcPr>
            <w:tcW w:w="2079" w:type="dxa"/>
          </w:tcPr>
          <w:p w14:paraId="5CB75094" w14:textId="77777777" w:rsidR="00010BD2" w:rsidRDefault="00B82DB6">
            <w:r>
              <w:t>Channel</w:t>
            </w:r>
          </w:p>
        </w:tc>
        <w:tc>
          <w:tcPr>
            <w:tcW w:w="7265" w:type="dxa"/>
          </w:tcPr>
          <w:p w14:paraId="5CB75095" w14:textId="77777777" w:rsidR="00010BD2" w:rsidRDefault="00B82DB6">
            <w:pPr>
              <w:jc w:val="both"/>
              <w:rPr>
                <w:lang w:val="en-US"/>
              </w:rPr>
            </w:pPr>
            <w:bookmarkStart w:id="30" w:name="_Hlk86492458"/>
            <w:r>
              <w:t xml:space="preserve">A physical or logical connection between an output Port of an AIM and an input Port of an AIM. </w:t>
            </w:r>
            <w:bookmarkEnd w:id="30"/>
            <w:r>
              <w:t>The term “connection” is also used as a synonym.</w:t>
            </w:r>
          </w:p>
        </w:tc>
      </w:tr>
      <w:tr w:rsidR="00010BD2" w14:paraId="5CB75099" w14:textId="77777777">
        <w:trPr>
          <w:jc w:val="center"/>
        </w:trPr>
        <w:tc>
          <w:tcPr>
            <w:tcW w:w="2079" w:type="dxa"/>
          </w:tcPr>
          <w:p w14:paraId="5CB75097" w14:textId="77777777" w:rsidR="00010BD2" w:rsidRDefault="00B82DB6">
            <w:r>
              <w:t>Communication</w:t>
            </w:r>
          </w:p>
        </w:tc>
        <w:tc>
          <w:tcPr>
            <w:tcW w:w="7265" w:type="dxa"/>
          </w:tcPr>
          <w:p w14:paraId="5CB75098" w14:textId="77777777" w:rsidR="00010BD2" w:rsidRDefault="00B82DB6">
            <w:pPr>
              <w:jc w:val="both"/>
            </w:pPr>
            <w:r>
              <w:t>The infrastructure that implements message passing between AIMs.</w:t>
            </w:r>
          </w:p>
        </w:tc>
      </w:tr>
      <w:tr w:rsidR="00010BD2" w14:paraId="5CB7509C" w14:textId="77777777">
        <w:trPr>
          <w:jc w:val="center"/>
        </w:trPr>
        <w:tc>
          <w:tcPr>
            <w:tcW w:w="2079" w:type="dxa"/>
          </w:tcPr>
          <w:p w14:paraId="5CB7509A" w14:textId="77777777" w:rsidR="00010BD2" w:rsidRDefault="00B82DB6">
            <w:r>
              <w:t>Component</w:t>
            </w:r>
          </w:p>
        </w:tc>
        <w:tc>
          <w:tcPr>
            <w:tcW w:w="7265" w:type="dxa"/>
          </w:tcPr>
          <w:p w14:paraId="5CB7509B" w14:textId="77777777" w:rsidR="00010BD2" w:rsidRDefault="00B82DB6">
            <w:pPr>
              <w:jc w:val="both"/>
            </w:pPr>
            <w:r>
              <w:t>One of the 9 AIF elements: Access, AI Module, AI Workflow, Commun</w:t>
            </w:r>
            <w:r>
              <w:softHyphen/>
              <w:t>ication, Controller, Internal Storage, Global Storage, MPAI Store, and User Agent.</w:t>
            </w:r>
          </w:p>
        </w:tc>
      </w:tr>
      <w:tr w:rsidR="00010BD2" w14:paraId="5CB7509F" w14:textId="77777777">
        <w:trPr>
          <w:jc w:val="center"/>
        </w:trPr>
        <w:tc>
          <w:tcPr>
            <w:tcW w:w="2079" w:type="dxa"/>
          </w:tcPr>
          <w:p w14:paraId="5CB7509D" w14:textId="77777777" w:rsidR="00010BD2" w:rsidRDefault="00B82DB6">
            <w:r>
              <w:t>Conformance</w:t>
            </w:r>
          </w:p>
        </w:tc>
        <w:tc>
          <w:tcPr>
            <w:tcW w:w="7265" w:type="dxa"/>
          </w:tcPr>
          <w:p w14:paraId="5CB7509E" w14:textId="77777777" w:rsidR="00010BD2" w:rsidRDefault="00B82DB6">
            <w:pPr>
              <w:jc w:val="both"/>
              <w:rPr>
                <w:lang w:val="en-US"/>
              </w:rPr>
            </w:pPr>
            <w:r>
              <w:rPr>
                <w:lang w:val="en-US"/>
              </w:rPr>
              <w:t>The attribute of an Implementation of being a correct technical Implem</w:t>
            </w:r>
            <w:r>
              <w:rPr>
                <w:lang w:val="en-US"/>
              </w:rPr>
              <w:softHyphen/>
              <w:t>entation of a Technical Specification.</w:t>
            </w:r>
          </w:p>
        </w:tc>
      </w:tr>
      <w:tr w:rsidR="00010BD2" w14:paraId="5CB750A2" w14:textId="77777777">
        <w:trPr>
          <w:jc w:val="center"/>
        </w:trPr>
        <w:tc>
          <w:tcPr>
            <w:tcW w:w="2079" w:type="dxa"/>
          </w:tcPr>
          <w:p w14:paraId="5CB750A0" w14:textId="77777777" w:rsidR="00010BD2" w:rsidRDefault="00B82DB6">
            <w:r>
              <w:t>Conformance Tester</w:t>
            </w:r>
          </w:p>
        </w:tc>
        <w:tc>
          <w:tcPr>
            <w:tcW w:w="7265" w:type="dxa"/>
          </w:tcPr>
          <w:p w14:paraId="5CB750A1" w14:textId="77777777" w:rsidR="00010BD2" w:rsidRDefault="00B82DB6">
            <w:pPr>
              <w:jc w:val="both"/>
              <w:rPr>
                <w:lang w:val="en-US"/>
              </w:rPr>
            </w:pPr>
            <w:r>
              <w:rPr>
                <w:lang w:val="en-US"/>
              </w:rPr>
              <w:t xml:space="preserve">An entity </w:t>
            </w:r>
            <w:proofErr w:type="spellStart"/>
            <w:r>
              <w:rPr>
                <w:lang w:val="en-US"/>
              </w:rPr>
              <w:t>authorised</w:t>
            </w:r>
            <w:proofErr w:type="spellEnd"/>
            <w:r>
              <w:rPr>
                <w:lang w:val="en-US"/>
              </w:rPr>
              <w:t xml:space="preserve"> by MPAI to Test the Conformance of an Implementation.</w:t>
            </w:r>
          </w:p>
        </w:tc>
      </w:tr>
      <w:tr w:rsidR="00010BD2" w14:paraId="5CB750A5" w14:textId="77777777">
        <w:trPr>
          <w:jc w:val="center"/>
        </w:trPr>
        <w:tc>
          <w:tcPr>
            <w:tcW w:w="2079" w:type="dxa"/>
          </w:tcPr>
          <w:p w14:paraId="5CB750A3" w14:textId="77777777" w:rsidR="00010BD2" w:rsidRDefault="00B82DB6">
            <w:r>
              <w:t>Conformance Testing</w:t>
            </w:r>
          </w:p>
        </w:tc>
        <w:tc>
          <w:tcPr>
            <w:tcW w:w="7265" w:type="dxa"/>
          </w:tcPr>
          <w:p w14:paraId="5CB750A4" w14:textId="77777777" w:rsidR="00010BD2" w:rsidRDefault="00B82DB6">
            <w:pPr>
              <w:jc w:val="both"/>
              <w:rPr>
                <w:lang w:val="en-US"/>
              </w:rPr>
            </w:pPr>
            <w:r>
              <w:rPr>
                <w:lang w:val="en-US"/>
              </w:rPr>
              <w:t>The normative document specifying the Means to Test the Conformance of an Implementation.</w:t>
            </w:r>
          </w:p>
        </w:tc>
      </w:tr>
      <w:tr w:rsidR="00010BD2" w14:paraId="5CB750A8" w14:textId="77777777">
        <w:trPr>
          <w:jc w:val="center"/>
        </w:trPr>
        <w:tc>
          <w:tcPr>
            <w:tcW w:w="2079" w:type="dxa"/>
          </w:tcPr>
          <w:p w14:paraId="5CB750A6" w14:textId="77777777" w:rsidR="00010BD2" w:rsidRDefault="00B82DB6">
            <w:r>
              <w:t>Conformance Testing Means</w:t>
            </w:r>
          </w:p>
        </w:tc>
        <w:tc>
          <w:tcPr>
            <w:tcW w:w="7265" w:type="dxa"/>
          </w:tcPr>
          <w:p w14:paraId="5CB750A7" w14:textId="77777777" w:rsidR="00010BD2" w:rsidRDefault="00B82DB6">
            <w:pPr>
              <w:jc w:val="both"/>
              <w:rPr>
                <w:lang w:val="en-US"/>
              </w:rPr>
            </w:pPr>
            <w:r>
              <w:rPr>
                <w:lang w:val="en-US"/>
              </w:rPr>
              <w:t>Procedures, tools, data sets and/or data set characteristics to Test the Conformance of an Implementation.</w:t>
            </w:r>
          </w:p>
        </w:tc>
      </w:tr>
      <w:tr w:rsidR="00010BD2" w14:paraId="5CB750AB" w14:textId="77777777">
        <w:trPr>
          <w:jc w:val="center"/>
        </w:trPr>
        <w:tc>
          <w:tcPr>
            <w:tcW w:w="2079" w:type="dxa"/>
          </w:tcPr>
          <w:p w14:paraId="5CB750A9" w14:textId="77777777" w:rsidR="00010BD2" w:rsidRDefault="00B82DB6">
            <w:r>
              <w:t>Connection</w:t>
            </w:r>
          </w:p>
        </w:tc>
        <w:tc>
          <w:tcPr>
            <w:tcW w:w="7265" w:type="dxa"/>
          </w:tcPr>
          <w:p w14:paraId="5CB750AA" w14:textId="77777777" w:rsidR="00010BD2" w:rsidRDefault="00B82DB6">
            <w:pPr>
              <w:jc w:val="both"/>
              <w:rPr>
                <w:lang w:val="en-US"/>
              </w:rPr>
            </w:pPr>
            <w:r>
              <w:rPr>
                <w:lang w:val="en-US"/>
              </w:rPr>
              <w:t>A channel connecting an output port of an AIM and an input port of an AIM.</w:t>
            </w:r>
          </w:p>
        </w:tc>
      </w:tr>
      <w:tr w:rsidR="00010BD2" w14:paraId="5CB750AE" w14:textId="77777777">
        <w:trPr>
          <w:jc w:val="center"/>
        </w:trPr>
        <w:tc>
          <w:tcPr>
            <w:tcW w:w="2079" w:type="dxa"/>
          </w:tcPr>
          <w:p w14:paraId="5CB750AC" w14:textId="77777777" w:rsidR="00010BD2" w:rsidRDefault="00B82DB6">
            <w:r>
              <w:t>Controller</w:t>
            </w:r>
          </w:p>
        </w:tc>
        <w:tc>
          <w:tcPr>
            <w:tcW w:w="7265" w:type="dxa"/>
          </w:tcPr>
          <w:p w14:paraId="5CB750AD" w14:textId="77777777" w:rsidR="00010BD2" w:rsidRDefault="00B82DB6">
            <w:pPr>
              <w:jc w:val="both"/>
              <w:rPr>
                <w:lang w:val="en-US"/>
              </w:rPr>
            </w:pPr>
            <w:r>
              <w:t>A Component that manages and controls the AIMs in the AIF, so that they execute in the correct order and at the time when they are needed.</w:t>
            </w:r>
          </w:p>
        </w:tc>
      </w:tr>
      <w:tr w:rsidR="00010BD2" w14:paraId="5CB750B1" w14:textId="77777777">
        <w:trPr>
          <w:jc w:val="center"/>
        </w:trPr>
        <w:tc>
          <w:tcPr>
            <w:tcW w:w="2079" w:type="dxa"/>
          </w:tcPr>
          <w:p w14:paraId="5CB750AF" w14:textId="77777777" w:rsidR="00010BD2" w:rsidRDefault="00B82DB6">
            <w:r>
              <w:t>Data</w:t>
            </w:r>
          </w:p>
        </w:tc>
        <w:tc>
          <w:tcPr>
            <w:tcW w:w="7265" w:type="dxa"/>
          </w:tcPr>
          <w:p w14:paraId="5CB750B0" w14:textId="77777777" w:rsidR="00010BD2" w:rsidRDefault="00B82DB6">
            <w:pPr>
              <w:jc w:val="both"/>
            </w:pPr>
            <w:r>
              <w:t>Information in digital form.</w:t>
            </w:r>
          </w:p>
        </w:tc>
      </w:tr>
      <w:tr w:rsidR="00010BD2" w14:paraId="5CB750B4" w14:textId="77777777">
        <w:trPr>
          <w:jc w:val="center"/>
        </w:trPr>
        <w:tc>
          <w:tcPr>
            <w:tcW w:w="2079" w:type="dxa"/>
          </w:tcPr>
          <w:p w14:paraId="5CB750B2" w14:textId="77777777" w:rsidR="00010BD2" w:rsidRDefault="00B82DB6">
            <w:r>
              <w:t>Data Format</w:t>
            </w:r>
          </w:p>
        </w:tc>
        <w:tc>
          <w:tcPr>
            <w:tcW w:w="7265" w:type="dxa"/>
          </w:tcPr>
          <w:p w14:paraId="5CB750B3" w14:textId="77777777" w:rsidR="00010BD2" w:rsidRDefault="00B82DB6">
            <w:pPr>
              <w:jc w:val="both"/>
              <w:rPr>
                <w:lang w:val="en-US"/>
              </w:rPr>
            </w:pPr>
            <w:r>
              <w:t>The standard digital representation of Data.</w:t>
            </w:r>
          </w:p>
        </w:tc>
      </w:tr>
      <w:tr w:rsidR="00010BD2" w14:paraId="5CB750B7" w14:textId="77777777">
        <w:trPr>
          <w:jc w:val="center"/>
        </w:trPr>
        <w:tc>
          <w:tcPr>
            <w:tcW w:w="2079" w:type="dxa"/>
          </w:tcPr>
          <w:p w14:paraId="5CB750B5" w14:textId="77777777" w:rsidR="00010BD2" w:rsidRDefault="00B82DB6">
            <w:r>
              <w:t>Data Semantics</w:t>
            </w:r>
          </w:p>
        </w:tc>
        <w:tc>
          <w:tcPr>
            <w:tcW w:w="7265" w:type="dxa"/>
          </w:tcPr>
          <w:p w14:paraId="5CB750B6" w14:textId="77777777" w:rsidR="00010BD2" w:rsidRDefault="00B82DB6">
            <w:pPr>
              <w:jc w:val="both"/>
              <w:rPr>
                <w:lang w:val="en-US"/>
              </w:rPr>
            </w:pPr>
            <w:r>
              <w:t>The meaning of Data.</w:t>
            </w:r>
          </w:p>
        </w:tc>
      </w:tr>
      <w:tr w:rsidR="00010BD2" w14:paraId="5CB750BA" w14:textId="77777777">
        <w:trPr>
          <w:jc w:val="center"/>
        </w:trPr>
        <w:tc>
          <w:tcPr>
            <w:tcW w:w="2079" w:type="dxa"/>
          </w:tcPr>
          <w:p w14:paraId="5CB750B8" w14:textId="77777777" w:rsidR="00010BD2" w:rsidRDefault="00B82DB6">
            <w:r>
              <w:t>Device</w:t>
            </w:r>
          </w:p>
        </w:tc>
        <w:tc>
          <w:tcPr>
            <w:tcW w:w="7265" w:type="dxa"/>
          </w:tcPr>
          <w:p w14:paraId="5CB750B9" w14:textId="77777777" w:rsidR="00010BD2" w:rsidRDefault="00B82DB6">
            <w:pPr>
              <w:jc w:val="both"/>
            </w:pPr>
            <w:r>
              <w:t>A hardware and/or software entity running at least one instance of an AIF.</w:t>
            </w:r>
          </w:p>
        </w:tc>
      </w:tr>
      <w:tr w:rsidR="00010BD2" w14:paraId="5CB750BD" w14:textId="77777777">
        <w:trPr>
          <w:jc w:val="center"/>
        </w:trPr>
        <w:tc>
          <w:tcPr>
            <w:tcW w:w="2079" w:type="dxa"/>
          </w:tcPr>
          <w:p w14:paraId="5CB750BB" w14:textId="77777777" w:rsidR="00010BD2" w:rsidRDefault="00B82DB6">
            <w:r>
              <w:lastRenderedPageBreak/>
              <w:t>Ecosystem</w:t>
            </w:r>
          </w:p>
        </w:tc>
        <w:tc>
          <w:tcPr>
            <w:tcW w:w="7265" w:type="dxa"/>
          </w:tcPr>
          <w:p w14:paraId="5CB750BC" w14:textId="77777777" w:rsidR="00010BD2" w:rsidRDefault="00B82DB6">
            <w:pPr>
              <w:jc w:val="both"/>
              <w:rPr>
                <w:lang w:val="en-US"/>
              </w:rPr>
            </w:pPr>
            <w:r>
              <w:rPr>
                <w:lang w:val="en-US"/>
              </w:rPr>
              <w:t xml:space="preserve">The ensemble of the following actors: MPAI, MPAI Store, Implementers, Conformance Testers, Performance </w:t>
            </w:r>
            <w:proofErr w:type="gramStart"/>
            <w:r>
              <w:rPr>
                <w:lang w:val="en-US"/>
              </w:rPr>
              <w:t>Testers</w:t>
            </w:r>
            <w:proofErr w:type="gramEnd"/>
            <w:r>
              <w:rPr>
                <w:lang w:val="en-US"/>
              </w:rPr>
              <w:t xml:space="preserve"> and Users of MPAI-AIF Im</w:t>
            </w:r>
            <w:r>
              <w:rPr>
                <w:lang w:val="en-US"/>
              </w:rPr>
              <w:softHyphen/>
              <w:t>plementations as needed to enable an Interoperability Level.</w:t>
            </w:r>
          </w:p>
        </w:tc>
      </w:tr>
      <w:tr w:rsidR="00010BD2" w14:paraId="5CB750C0" w14:textId="77777777">
        <w:trPr>
          <w:jc w:val="center"/>
        </w:trPr>
        <w:tc>
          <w:tcPr>
            <w:tcW w:w="2079" w:type="dxa"/>
          </w:tcPr>
          <w:p w14:paraId="5CB750BE" w14:textId="77777777" w:rsidR="00010BD2" w:rsidRDefault="00B82DB6">
            <w:r>
              <w:t>Event</w:t>
            </w:r>
          </w:p>
        </w:tc>
        <w:tc>
          <w:tcPr>
            <w:tcW w:w="7265" w:type="dxa"/>
          </w:tcPr>
          <w:p w14:paraId="5CB750BF" w14:textId="77777777" w:rsidR="00010BD2" w:rsidRDefault="00B82DB6">
            <w:pPr>
              <w:jc w:val="both"/>
            </w:pPr>
            <w:r>
              <w:t>An occurrence acted on by an Implementation.</w:t>
            </w:r>
          </w:p>
        </w:tc>
      </w:tr>
      <w:tr w:rsidR="00010BD2" w14:paraId="5CB750C3" w14:textId="77777777">
        <w:trPr>
          <w:jc w:val="center"/>
        </w:trPr>
        <w:tc>
          <w:tcPr>
            <w:tcW w:w="2079" w:type="dxa"/>
          </w:tcPr>
          <w:p w14:paraId="5CB750C1" w14:textId="77777777" w:rsidR="00010BD2" w:rsidRDefault="00B82DB6">
            <w:proofErr w:type="spellStart"/>
            <w:r>
              <w:t>Explainability</w:t>
            </w:r>
            <w:proofErr w:type="spellEnd"/>
          </w:p>
        </w:tc>
        <w:tc>
          <w:tcPr>
            <w:tcW w:w="7265" w:type="dxa"/>
          </w:tcPr>
          <w:p w14:paraId="5CB750C2" w14:textId="77777777" w:rsidR="00010BD2" w:rsidRDefault="00B82DB6">
            <w:pPr>
              <w:jc w:val="both"/>
              <w:rPr>
                <w:lang w:val="en-US"/>
              </w:rPr>
            </w:pPr>
            <w:r>
              <w:rPr>
                <w:lang w:val="en-US"/>
              </w:rPr>
              <w:t>The ability to trace the output of an Implementation back to the inputs that have produced it.</w:t>
            </w:r>
          </w:p>
        </w:tc>
      </w:tr>
      <w:tr w:rsidR="00010BD2" w14:paraId="5CB750C6" w14:textId="77777777">
        <w:trPr>
          <w:jc w:val="center"/>
        </w:trPr>
        <w:tc>
          <w:tcPr>
            <w:tcW w:w="2079" w:type="dxa"/>
          </w:tcPr>
          <w:p w14:paraId="5CB750C4" w14:textId="77777777" w:rsidR="00010BD2" w:rsidRDefault="00B82DB6">
            <w:r>
              <w:t>Fairness</w:t>
            </w:r>
          </w:p>
        </w:tc>
        <w:tc>
          <w:tcPr>
            <w:tcW w:w="7265" w:type="dxa"/>
          </w:tcPr>
          <w:p w14:paraId="5CB750C5" w14:textId="77777777" w:rsidR="00010BD2" w:rsidRDefault="00B82DB6">
            <w:pPr>
              <w:jc w:val="both"/>
              <w:rPr>
                <w:lang w:val="en-US"/>
              </w:rPr>
            </w:pPr>
            <w:r>
              <w:rPr>
                <w:lang w:val="en-US"/>
              </w:rPr>
              <w:t>The attribute of an Implementation whose extent of applicability can be assessed by making the training set and/or network open to testing for bias and unanticipated results.</w:t>
            </w:r>
          </w:p>
        </w:tc>
      </w:tr>
      <w:tr w:rsidR="00010BD2" w14:paraId="5CB750C9" w14:textId="77777777">
        <w:trPr>
          <w:jc w:val="center"/>
        </w:trPr>
        <w:tc>
          <w:tcPr>
            <w:tcW w:w="2079" w:type="dxa"/>
          </w:tcPr>
          <w:p w14:paraId="5CB750C7" w14:textId="77777777" w:rsidR="00010BD2" w:rsidRDefault="00B82DB6">
            <w:r>
              <w:t>Function</w:t>
            </w:r>
          </w:p>
        </w:tc>
        <w:tc>
          <w:tcPr>
            <w:tcW w:w="7265" w:type="dxa"/>
          </w:tcPr>
          <w:p w14:paraId="5CB750C8" w14:textId="77777777" w:rsidR="00010BD2" w:rsidRDefault="00B82DB6">
            <w:pPr>
              <w:jc w:val="both"/>
              <w:rPr>
                <w:lang w:val="en-US"/>
              </w:rPr>
            </w:pPr>
            <w:r>
              <w:rPr>
                <w:lang w:val="en-US"/>
              </w:rPr>
              <w:t>The operations effected by an AIW or an AIM on input data.</w:t>
            </w:r>
          </w:p>
        </w:tc>
      </w:tr>
      <w:tr w:rsidR="00010BD2" w14:paraId="5CB750CC" w14:textId="77777777">
        <w:trPr>
          <w:jc w:val="center"/>
        </w:trPr>
        <w:tc>
          <w:tcPr>
            <w:tcW w:w="2079" w:type="dxa"/>
          </w:tcPr>
          <w:p w14:paraId="5CB750CA" w14:textId="77777777" w:rsidR="00010BD2" w:rsidRDefault="00B82DB6">
            <w:r>
              <w:t>Global Storage</w:t>
            </w:r>
          </w:p>
        </w:tc>
        <w:tc>
          <w:tcPr>
            <w:tcW w:w="7265" w:type="dxa"/>
          </w:tcPr>
          <w:p w14:paraId="5CB750CB" w14:textId="77777777" w:rsidR="00010BD2" w:rsidRDefault="00B82DB6">
            <w:pPr>
              <w:jc w:val="both"/>
              <w:rPr>
                <w:lang w:val="en-US"/>
              </w:rPr>
            </w:pPr>
            <w:r>
              <w:t>A Component to store data shared by AIMs.</w:t>
            </w:r>
          </w:p>
        </w:tc>
      </w:tr>
      <w:tr w:rsidR="00010BD2" w14:paraId="5CB750CF" w14:textId="77777777">
        <w:trPr>
          <w:jc w:val="center"/>
        </w:trPr>
        <w:tc>
          <w:tcPr>
            <w:tcW w:w="2079" w:type="dxa"/>
          </w:tcPr>
          <w:p w14:paraId="5CB750CD" w14:textId="77777777" w:rsidR="00010BD2" w:rsidRDefault="00B82DB6">
            <w:r>
              <w:t>Identifier</w:t>
            </w:r>
          </w:p>
        </w:tc>
        <w:tc>
          <w:tcPr>
            <w:tcW w:w="7265" w:type="dxa"/>
          </w:tcPr>
          <w:p w14:paraId="5CB750CE" w14:textId="77777777" w:rsidR="00010BD2" w:rsidRDefault="00B82DB6">
            <w:pPr>
              <w:jc w:val="both"/>
              <w:rPr>
                <w:lang w:val="en-US"/>
              </w:rPr>
            </w:pPr>
            <w:r>
              <w:rPr>
                <w:lang w:val="en-US"/>
              </w:rPr>
              <w:t>A name that uniquely identifies an Implementation.</w:t>
            </w:r>
          </w:p>
        </w:tc>
      </w:tr>
      <w:tr w:rsidR="00010BD2" w14:paraId="5CB750D3" w14:textId="77777777">
        <w:trPr>
          <w:jc w:val="center"/>
        </w:trPr>
        <w:tc>
          <w:tcPr>
            <w:tcW w:w="2079" w:type="dxa"/>
          </w:tcPr>
          <w:p w14:paraId="5CB750D0" w14:textId="77777777" w:rsidR="00010BD2" w:rsidRDefault="00B82DB6">
            <w:r>
              <w:t>Implementation</w:t>
            </w:r>
          </w:p>
        </w:tc>
        <w:tc>
          <w:tcPr>
            <w:tcW w:w="7265" w:type="dxa"/>
          </w:tcPr>
          <w:p w14:paraId="5CB750D1" w14:textId="77777777" w:rsidR="00010BD2" w:rsidRDefault="00B82DB6">
            <w:pPr>
              <w:pStyle w:val="ListParagraph"/>
              <w:numPr>
                <w:ilvl w:val="0"/>
                <w:numId w:val="6"/>
              </w:numPr>
              <w:jc w:val="both"/>
            </w:pPr>
            <w:r>
              <w:t>An embodiment of the MPAI-AIF Technical Specification, or</w:t>
            </w:r>
          </w:p>
          <w:p w14:paraId="5CB750D2" w14:textId="77777777" w:rsidR="00010BD2" w:rsidRDefault="00B82DB6">
            <w:pPr>
              <w:pStyle w:val="ListParagraph"/>
              <w:numPr>
                <w:ilvl w:val="0"/>
                <w:numId w:val="6"/>
              </w:numPr>
              <w:jc w:val="both"/>
              <w:rPr>
                <w:lang w:val="en-US"/>
              </w:rPr>
            </w:pPr>
            <w:r>
              <w:t>An AIW or AIM of a particular Level (1-2-3).</w:t>
            </w:r>
          </w:p>
        </w:tc>
      </w:tr>
      <w:tr w:rsidR="00010BD2" w14:paraId="5CB750D6" w14:textId="77777777">
        <w:trPr>
          <w:jc w:val="center"/>
        </w:trPr>
        <w:tc>
          <w:tcPr>
            <w:tcW w:w="2079" w:type="dxa"/>
          </w:tcPr>
          <w:p w14:paraId="5CB750D4" w14:textId="77777777" w:rsidR="00010BD2" w:rsidRDefault="00B82DB6">
            <w:r>
              <w:t>Internal Storage</w:t>
            </w:r>
          </w:p>
        </w:tc>
        <w:tc>
          <w:tcPr>
            <w:tcW w:w="7265" w:type="dxa"/>
          </w:tcPr>
          <w:p w14:paraId="5CB750D5" w14:textId="77777777" w:rsidR="00010BD2" w:rsidRDefault="00B82DB6">
            <w:pPr>
              <w:jc w:val="both"/>
              <w:rPr>
                <w:lang w:val="en-US"/>
              </w:rPr>
            </w:pPr>
            <w:r>
              <w:t>A Component to store data of the individual AIMs.</w:t>
            </w:r>
          </w:p>
        </w:tc>
      </w:tr>
      <w:tr w:rsidR="00010BD2" w14:paraId="5CB750D9" w14:textId="77777777">
        <w:trPr>
          <w:jc w:val="center"/>
        </w:trPr>
        <w:tc>
          <w:tcPr>
            <w:tcW w:w="2079" w:type="dxa"/>
          </w:tcPr>
          <w:p w14:paraId="5CB750D7" w14:textId="77777777" w:rsidR="00010BD2" w:rsidRDefault="00B82DB6">
            <w:r>
              <w:t>Interoperability</w:t>
            </w:r>
          </w:p>
        </w:tc>
        <w:tc>
          <w:tcPr>
            <w:tcW w:w="7265" w:type="dxa"/>
          </w:tcPr>
          <w:p w14:paraId="5CB750D8" w14:textId="77777777" w:rsidR="00010BD2" w:rsidRDefault="00B82DB6">
            <w:pPr>
              <w:jc w:val="both"/>
              <w:rPr>
                <w:lang w:val="en-US"/>
              </w:rPr>
            </w:pPr>
            <w:r>
              <w:rPr>
                <w:lang w:val="en-US"/>
              </w:rPr>
              <w:t>The ability to functionally replace an AIM/AIW with another AIM/AIW having the same Interoperability Level</w:t>
            </w:r>
            <w:bookmarkStart w:id="31" w:name="_Hlk84694576"/>
            <w:bookmarkEnd w:id="31"/>
          </w:p>
        </w:tc>
      </w:tr>
      <w:tr w:rsidR="00010BD2" w14:paraId="5CB750DF" w14:textId="77777777">
        <w:trPr>
          <w:jc w:val="center"/>
        </w:trPr>
        <w:tc>
          <w:tcPr>
            <w:tcW w:w="2079" w:type="dxa"/>
          </w:tcPr>
          <w:p w14:paraId="5CB750DA" w14:textId="77777777" w:rsidR="00010BD2" w:rsidRDefault="00B82DB6">
            <w:r>
              <w:t>Interoperability Level</w:t>
            </w:r>
          </w:p>
        </w:tc>
        <w:tc>
          <w:tcPr>
            <w:tcW w:w="7265" w:type="dxa"/>
          </w:tcPr>
          <w:p w14:paraId="5CB750DB" w14:textId="77777777" w:rsidR="00010BD2" w:rsidRDefault="00B82DB6">
            <w:pPr>
              <w:jc w:val="both"/>
              <w:rPr>
                <w:lang w:val="en-US"/>
              </w:rPr>
            </w:pPr>
            <w:r>
              <w:rPr>
                <w:lang w:val="en-US"/>
              </w:rPr>
              <w:t xml:space="preserve">The attribute of an AIW and its AIMs to be executable in an AIF Implementation and to be: </w:t>
            </w:r>
          </w:p>
          <w:p w14:paraId="5CB750DC" w14:textId="77777777" w:rsidR="00010BD2" w:rsidRDefault="00B82DB6">
            <w:pPr>
              <w:pStyle w:val="ListParagraph"/>
              <w:numPr>
                <w:ilvl w:val="0"/>
                <w:numId w:val="8"/>
              </w:numPr>
              <w:jc w:val="both"/>
              <w:rPr>
                <w:lang w:val="en-US"/>
              </w:rPr>
            </w:pPr>
            <w:r>
              <w:rPr>
                <w:lang w:val="en-US"/>
              </w:rPr>
              <w:t xml:space="preserve">Implementer-specific and satisfying the MPAI-AIF Standard </w:t>
            </w:r>
            <w:r>
              <w:rPr>
                <w:i/>
                <w:iCs/>
                <w:lang w:val="en-US"/>
              </w:rPr>
              <w:t>(Level 1)</w:t>
            </w:r>
            <w:r>
              <w:rPr>
                <w:lang w:val="en-US"/>
              </w:rPr>
              <w:t>.</w:t>
            </w:r>
          </w:p>
          <w:p w14:paraId="5CB750DD" w14:textId="77777777" w:rsidR="00010BD2" w:rsidRDefault="00B82DB6">
            <w:pPr>
              <w:pStyle w:val="ListParagraph"/>
              <w:numPr>
                <w:ilvl w:val="0"/>
                <w:numId w:val="8"/>
              </w:numPr>
              <w:jc w:val="both"/>
              <w:rPr>
                <w:lang w:val="en-US"/>
              </w:rPr>
            </w:pPr>
            <w:r>
              <w:rPr>
                <w:lang w:val="en-US"/>
              </w:rPr>
              <w:t>Specified by an MPAI Application Standard (</w:t>
            </w:r>
            <w:r>
              <w:rPr>
                <w:i/>
                <w:iCs/>
                <w:lang w:val="en-US"/>
              </w:rPr>
              <w:t>Level 2)</w:t>
            </w:r>
            <w:r>
              <w:rPr>
                <w:lang w:val="en-US"/>
              </w:rPr>
              <w:t>.</w:t>
            </w:r>
          </w:p>
          <w:p w14:paraId="5CB750DE" w14:textId="77777777" w:rsidR="00010BD2" w:rsidRDefault="00B82DB6">
            <w:pPr>
              <w:pStyle w:val="ListParagraph"/>
              <w:numPr>
                <w:ilvl w:val="0"/>
                <w:numId w:val="8"/>
              </w:numPr>
              <w:jc w:val="both"/>
              <w:rPr>
                <w:lang w:val="en-US"/>
              </w:rPr>
            </w:pPr>
            <w:r>
              <w:rPr>
                <w:lang w:val="en-US"/>
              </w:rPr>
              <w:t>Specified by an MPAI Application Standard and certified by a Performance Assessor (</w:t>
            </w:r>
            <w:r>
              <w:rPr>
                <w:i/>
                <w:iCs/>
                <w:lang w:val="en-US"/>
              </w:rPr>
              <w:t>Level 3)</w:t>
            </w:r>
            <w:r>
              <w:rPr>
                <w:lang w:val="en-US"/>
              </w:rPr>
              <w:t>.</w:t>
            </w:r>
          </w:p>
        </w:tc>
      </w:tr>
      <w:tr w:rsidR="00010BD2" w14:paraId="5CB750E2" w14:textId="77777777">
        <w:trPr>
          <w:jc w:val="center"/>
        </w:trPr>
        <w:tc>
          <w:tcPr>
            <w:tcW w:w="2079" w:type="dxa"/>
          </w:tcPr>
          <w:p w14:paraId="5CB750E0" w14:textId="77777777" w:rsidR="00010BD2" w:rsidRDefault="00B82DB6">
            <w:r>
              <w:t>Knowledge Base</w:t>
            </w:r>
          </w:p>
        </w:tc>
        <w:tc>
          <w:tcPr>
            <w:tcW w:w="7265" w:type="dxa"/>
          </w:tcPr>
          <w:p w14:paraId="5CB750E1" w14:textId="77777777" w:rsidR="00010BD2" w:rsidRDefault="00B82DB6">
            <w:pPr>
              <w:jc w:val="both"/>
              <w:rPr>
                <w:lang w:val="en-US"/>
              </w:rPr>
            </w:pPr>
            <w:r>
              <w:t>Structured and/or unstructured information made accessible to AIMs via MPAI-specified interfaces</w:t>
            </w:r>
          </w:p>
        </w:tc>
      </w:tr>
      <w:tr w:rsidR="00010BD2" w14:paraId="5CB750E5" w14:textId="77777777">
        <w:trPr>
          <w:jc w:val="center"/>
        </w:trPr>
        <w:tc>
          <w:tcPr>
            <w:tcW w:w="2079" w:type="dxa"/>
          </w:tcPr>
          <w:p w14:paraId="5CB750E3" w14:textId="77777777" w:rsidR="00010BD2" w:rsidRDefault="00B82DB6">
            <w:r>
              <w:t>Message</w:t>
            </w:r>
          </w:p>
        </w:tc>
        <w:tc>
          <w:tcPr>
            <w:tcW w:w="7265" w:type="dxa"/>
          </w:tcPr>
          <w:p w14:paraId="5CB750E4" w14:textId="77777777" w:rsidR="00010BD2" w:rsidRDefault="00B82DB6">
            <w:pPr>
              <w:jc w:val="both"/>
            </w:pPr>
            <w:r>
              <w:t>A sequence of Records.</w:t>
            </w:r>
          </w:p>
        </w:tc>
      </w:tr>
      <w:tr w:rsidR="00010BD2" w14:paraId="5CB750E8" w14:textId="77777777">
        <w:trPr>
          <w:jc w:val="center"/>
        </w:trPr>
        <w:tc>
          <w:tcPr>
            <w:tcW w:w="2079" w:type="dxa"/>
          </w:tcPr>
          <w:p w14:paraId="5CB750E6" w14:textId="77777777" w:rsidR="00010BD2" w:rsidRDefault="00B82DB6">
            <w:r>
              <w:t>Normativity</w:t>
            </w:r>
          </w:p>
        </w:tc>
        <w:tc>
          <w:tcPr>
            <w:tcW w:w="7265" w:type="dxa"/>
          </w:tcPr>
          <w:p w14:paraId="5CB750E7" w14:textId="77777777" w:rsidR="00010BD2" w:rsidRDefault="00B82DB6">
            <w:pPr>
              <w:jc w:val="both"/>
              <w:rPr>
                <w:lang w:val="en-US"/>
              </w:rPr>
            </w:pPr>
            <w:r>
              <w:rPr>
                <w:lang w:val="en-US"/>
              </w:rPr>
              <w:t>The set of attributes of a technology or a set of technologies specified by the applicable parts of an MPAI standard.</w:t>
            </w:r>
          </w:p>
        </w:tc>
      </w:tr>
      <w:tr w:rsidR="00010BD2" w14:paraId="5CB750EB" w14:textId="77777777">
        <w:trPr>
          <w:jc w:val="center"/>
        </w:trPr>
        <w:tc>
          <w:tcPr>
            <w:tcW w:w="2079" w:type="dxa"/>
          </w:tcPr>
          <w:p w14:paraId="5CB750E9" w14:textId="77777777" w:rsidR="00010BD2" w:rsidRDefault="00B82DB6">
            <w:r>
              <w:t>Performance</w:t>
            </w:r>
          </w:p>
        </w:tc>
        <w:tc>
          <w:tcPr>
            <w:tcW w:w="7265" w:type="dxa"/>
          </w:tcPr>
          <w:p w14:paraId="5CB750EA" w14:textId="77777777" w:rsidR="00010BD2" w:rsidRDefault="00B82DB6">
            <w:pPr>
              <w:jc w:val="both"/>
              <w:rPr>
                <w:lang w:val="en-US"/>
              </w:rPr>
            </w:pPr>
            <w:r>
              <w:rPr>
                <w:lang w:val="en-US"/>
              </w:rPr>
              <w:t>The attribute of an Implementation of being Reliable, Robust, Fair and Replicable.</w:t>
            </w:r>
          </w:p>
        </w:tc>
      </w:tr>
      <w:tr w:rsidR="00010BD2" w14:paraId="5CB750EE" w14:textId="77777777">
        <w:trPr>
          <w:jc w:val="center"/>
        </w:trPr>
        <w:tc>
          <w:tcPr>
            <w:tcW w:w="2079" w:type="dxa"/>
          </w:tcPr>
          <w:p w14:paraId="5CB750EC" w14:textId="77777777" w:rsidR="00010BD2" w:rsidRDefault="00B82DB6">
            <w:r>
              <w:t>Performance Assessment</w:t>
            </w:r>
          </w:p>
        </w:tc>
        <w:tc>
          <w:tcPr>
            <w:tcW w:w="7265" w:type="dxa"/>
          </w:tcPr>
          <w:p w14:paraId="5CB750ED" w14:textId="77777777" w:rsidR="00010BD2" w:rsidRDefault="00B82DB6">
            <w:pPr>
              <w:jc w:val="both"/>
              <w:rPr>
                <w:lang w:val="en-US"/>
              </w:rPr>
            </w:pPr>
            <w:r>
              <w:rPr>
                <w:lang w:val="en-US"/>
              </w:rPr>
              <w:t>The normative document specifying the procedures, the tools, the data sets and/or the data set characteristics to Assess the Grade of Performance of an Implementation.</w:t>
            </w:r>
          </w:p>
        </w:tc>
      </w:tr>
      <w:tr w:rsidR="00010BD2" w14:paraId="5CB750F1" w14:textId="77777777">
        <w:trPr>
          <w:jc w:val="center"/>
        </w:trPr>
        <w:tc>
          <w:tcPr>
            <w:tcW w:w="2079" w:type="dxa"/>
          </w:tcPr>
          <w:p w14:paraId="5CB750EF" w14:textId="77777777" w:rsidR="00010BD2" w:rsidRDefault="00B82DB6">
            <w:r>
              <w:t>Performance Assessment Means</w:t>
            </w:r>
          </w:p>
        </w:tc>
        <w:tc>
          <w:tcPr>
            <w:tcW w:w="7265" w:type="dxa"/>
          </w:tcPr>
          <w:p w14:paraId="5CB750F0" w14:textId="77777777" w:rsidR="00010BD2" w:rsidRDefault="00B82DB6">
            <w:pPr>
              <w:jc w:val="both"/>
              <w:rPr>
                <w:lang w:val="en-US"/>
              </w:rPr>
            </w:pPr>
            <w:r>
              <w:rPr>
                <w:lang w:val="en-US"/>
              </w:rPr>
              <w:t>Procedures, tools, data sets and/or data set characteristics to Assess the Performance of an Implementation.</w:t>
            </w:r>
          </w:p>
        </w:tc>
      </w:tr>
      <w:tr w:rsidR="00010BD2" w14:paraId="5CB750F4" w14:textId="77777777">
        <w:trPr>
          <w:jc w:val="center"/>
        </w:trPr>
        <w:tc>
          <w:tcPr>
            <w:tcW w:w="2079" w:type="dxa"/>
          </w:tcPr>
          <w:p w14:paraId="5CB750F2" w14:textId="77777777" w:rsidR="00010BD2" w:rsidRDefault="00B82DB6">
            <w:r>
              <w:t>Performance Assessor</w:t>
            </w:r>
          </w:p>
        </w:tc>
        <w:tc>
          <w:tcPr>
            <w:tcW w:w="7265" w:type="dxa"/>
          </w:tcPr>
          <w:p w14:paraId="5CB750F3" w14:textId="77777777" w:rsidR="00010BD2" w:rsidRDefault="00B82DB6">
            <w:pPr>
              <w:jc w:val="both"/>
              <w:rPr>
                <w:lang w:val="en-US"/>
              </w:rPr>
            </w:pPr>
            <w:r>
              <w:rPr>
                <w:lang w:val="en-US"/>
              </w:rPr>
              <w:t xml:space="preserve">An entity </w:t>
            </w:r>
            <w:proofErr w:type="spellStart"/>
            <w:r>
              <w:rPr>
                <w:lang w:val="en-US"/>
              </w:rPr>
              <w:t>authorised</w:t>
            </w:r>
            <w:proofErr w:type="spellEnd"/>
            <w:r>
              <w:rPr>
                <w:lang w:val="en-US"/>
              </w:rPr>
              <w:t xml:space="preserve"> by MPAI to Assess the Performance of an Implementation </w:t>
            </w:r>
            <w:proofErr w:type="gramStart"/>
            <w:r>
              <w:rPr>
                <w:lang w:val="en-US"/>
              </w:rPr>
              <w:t>in a given</w:t>
            </w:r>
            <w:proofErr w:type="gramEnd"/>
            <w:r>
              <w:rPr>
                <w:lang w:val="en-US"/>
              </w:rPr>
              <w:t xml:space="preserve"> Application domain</w:t>
            </w:r>
          </w:p>
        </w:tc>
      </w:tr>
      <w:tr w:rsidR="00010BD2" w14:paraId="5CB750F7" w14:textId="77777777">
        <w:trPr>
          <w:jc w:val="center"/>
        </w:trPr>
        <w:tc>
          <w:tcPr>
            <w:tcW w:w="2079" w:type="dxa"/>
          </w:tcPr>
          <w:p w14:paraId="5CB750F5" w14:textId="77777777" w:rsidR="00010BD2" w:rsidRDefault="00B82DB6">
            <w:r>
              <w:t>Port</w:t>
            </w:r>
          </w:p>
        </w:tc>
        <w:tc>
          <w:tcPr>
            <w:tcW w:w="7265" w:type="dxa"/>
          </w:tcPr>
          <w:p w14:paraId="5CB750F6" w14:textId="77777777" w:rsidR="00010BD2" w:rsidRDefault="00B82DB6">
            <w:pPr>
              <w:jc w:val="both"/>
              <w:rPr>
                <w:lang w:val="en-US"/>
              </w:rPr>
            </w:pPr>
            <w:r>
              <w:t>A physical or logical communication interface of an AIM.</w:t>
            </w:r>
          </w:p>
        </w:tc>
      </w:tr>
      <w:tr w:rsidR="00010BD2" w14:paraId="5CB750FA" w14:textId="77777777">
        <w:trPr>
          <w:jc w:val="center"/>
        </w:trPr>
        <w:tc>
          <w:tcPr>
            <w:tcW w:w="2079" w:type="dxa"/>
          </w:tcPr>
          <w:p w14:paraId="5CB750F8" w14:textId="77777777" w:rsidR="00010BD2" w:rsidRDefault="00B82DB6">
            <w:r>
              <w:t>Profile</w:t>
            </w:r>
          </w:p>
        </w:tc>
        <w:tc>
          <w:tcPr>
            <w:tcW w:w="7265" w:type="dxa"/>
          </w:tcPr>
          <w:p w14:paraId="5CB750F9" w14:textId="77777777" w:rsidR="00010BD2" w:rsidRDefault="00B82DB6">
            <w:pPr>
              <w:jc w:val="both"/>
              <w:rPr>
                <w:lang w:val="en-US"/>
              </w:rPr>
            </w:pPr>
            <w:r>
              <w:rPr>
                <w:lang w:val="en-US"/>
              </w:rPr>
              <w:t xml:space="preserve">A particular subset of the technologies used in MPAI-AIF or an AIW of an Application Standard and, where applicable, the classes, other subsets, </w:t>
            </w:r>
            <w:proofErr w:type="gramStart"/>
            <w:r>
              <w:rPr>
                <w:lang w:val="en-US"/>
              </w:rPr>
              <w:t>options</w:t>
            </w:r>
            <w:proofErr w:type="gramEnd"/>
            <w:r>
              <w:rPr>
                <w:lang w:val="en-US"/>
              </w:rPr>
              <w:t xml:space="preserve"> and parameters relevant to that subset.</w:t>
            </w:r>
          </w:p>
        </w:tc>
      </w:tr>
      <w:tr w:rsidR="00010BD2" w14:paraId="5CB750FD" w14:textId="77777777">
        <w:trPr>
          <w:jc w:val="center"/>
        </w:trPr>
        <w:tc>
          <w:tcPr>
            <w:tcW w:w="2079" w:type="dxa"/>
          </w:tcPr>
          <w:p w14:paraId="5CB750FB" w14:textId="77777777" w:rsidR="00010BD2" w:rsidRDefault="00B82DB6">
            <w:r>
              <w:t>Record</w:t>
            </w:r>
          </w:p>
        </w:tc>
        <w:tc>
          <w:tcPr>
            <w:tcW w:w="7265" w:type="dxa"/>
          </w:tcPr>
          <w:p w14:paraId="5CB750FC" w14:textId="77777777" w:rsidR="00010BD2" w:rsidRDefault="00B82DB6">
            <w:pPr>
              <w:jc w:val="both"/>
              <w:rPr>
                <w:lang w:val="en-US"/>
              </w:rPr>
            </w:pPr>
            <w:r>
              <w:t>Data with a specified structure.</w:t>
            </w:r>
          </w:p>
        </w:tc>
      </w:tr>
      <w:tr w:rsidR="00010BD2" w14:paraId="5CB75100" w14:textId="77777777">
        <w:trPr>
          <w:jc w:val="center"/>
        </w:trPr>
        <w:tc>
          <w:tcPr>
            <w:tcW w:w="2079" w:type="dxa"/>
          </w:tcPr>
          <w:p w14:paraId="5CB750FE" w14:textId="77777777" w:rsidR="00010BD2" w:rsidRDefault="00B82DB6">
            <w:r>
              <w:t>Reference Model</w:t>
            </w:r>
          </w:p>
        </w:tc>
        <w:tc>
          <w:tcPr>
            <w:tcW w:w="7265" w:type="dxa"/>
          </w:tcPr>
          <w:p w14:paraId="5CB750FF" w14:textId="77777777" w:rsidR="00010BD2" w:rsidRDefault="00B82DB6">
            <w:pPr>
              <w:jc w:val="both"/>
            </w:pPr>
            <w:r>
              <w:t>The AIMs and theirs Connections in an AIW.</w:t>
            </w:r>
          </w:p>
        </w:tc>
      </w:tr>
      <w:tr w:rsidR="00010BD2" w14:paraId="5CB75103" w14:textId="77777777">
        <w:trPr>
          <w:jc w:val="center"/>
        </w:trPr>
        <w:tc>
          <w:tcPr>
            <w:tcW w:w="2079" w:type="dxa"/>
          </w:tcPr>
          <w:p w14:paraId="5CB75101" w14:textId="77777777" w:rsidR="00010BD2" w:rsidRDefault="00B82DB6">
            <w:r>
              <w:t>Reference Software</w:t>
            </w:r>
          </w:p>
        </w:tc>
        <w:tc>
          <w:tcPr>
            <w:tcW w:w="7265" w:type="dxa"/>
          </w:tcPr>
          <w:p w14:paraId="5CB75102" w14:textId="77777777" w:rsidR="00010BD2" w:rsidRDefault="00B82DB6">
            <w:pPr>
              <w:jc w:val="both"/>
              <w:rPr>
                <w:lang w:val="en-US"/>
              </w:rPr>
            </w:pPr>
            <w:r>
              <w:rPr>
                <w:lang w:val="en-US"/>
              </w:rPr>
              <w:t>A technically correct software implementation of a Technical Specific</w:t>
            </w:r>
            <w:r>
              <w:rPr>
                <w:lang w:val="en-US"/>
              </w:rPr>
              <w:softHyphen/>
              <w:t xml:space="preserve">ation containing source code, or source and compiled code. </w:t>
            </w:r>
          </w:p>
        </w:tc>
      </w:tr>
      <w:tr w:rsidR="00010BD2" w14:paraId="5CB75106" w14:textId="77777777">
        <w:trPr>
          <w:jc w:val="center"/>
        </w:trPr>
        <w:tc>
          <w:tcPr>
            <w:tcW w:w="2079" w:type="dxa"/>
          </w:tcPr>
          <w:p w14:paraId="5CB75104" w14:textId="77777777" w:rsidR="00010BD2" w:rsidRDefault="00B82DB6">
            <w:r>
              <w:t>Reliability</w:t>
            </w:r>
          </w:p>
        </w:tc>
        <w:tc>
          <w:tcPr>
            <w:tcW w:w="7265" w:type="dxa"/>
          </w:tcPr>
          <w:p w14:paraId="5CB75105" w14:textId="77777777" w:rsidR="00010BD2" w:rsidRDefault="00B82DB6">
            <w:pPr>
              <w:jc w:val="both"/>
              <w:rPr>
                <w:lang w:val="en-US"/>
              </w:rPr>
            </w:pPr>
            <w:r>
              <w:rPr>
                <w:lang w:val="en-US"/>
              </w:rPr>
              <w:t xml:space="preserve">The attribute of an Implementation that performs as specified by the Application Standard, </w:t>
            </w:r>
            <w:proofErr w:type="gramStart"/>
            <w:r>
              <w:rPr>
                <w:lang w:val="en-US"/>
              </w:rPr>
              <w:t>profile</w:t>
            </w:r>
            <w:proofErr w:type="gramEnd"/>
            <w:r>
              <w:rPr>
                <w:lang w:val="en-US"/>
              </w:rPr>
              <w:t xml:space="preserve"> and version the Implementation refers to, e.g., </w:t>
            </w:r>
            <w:r>
              <w:rPr>
                <w:lang w:val="en-US"/>
              </w:rPr>
              <w:lastRenderedPageBreak/>
              <w:t>within the application scope, stated limitations, and for the period of time specified by the Implementer.</w:t>
            </w:r>
          </w:p>
        </w:tc>
      </w:tr>
      <w:tr w:rsidR="00010BD2" w14:paraId="5CB75109" w14:textId="77777777">
        <w:trPr>
          <w:jc w:val="center"/>
        </w:trPr>
        <w:tc>
          <w:tcPr>
            <w:tcW w:w="2079" w:type="dxa"/>
          </w:tcPr>
          <w:p w14:paraId="5CB75107" w14:textId="77777777" w:rsidR="00010BD2" w:rsidRDefault="00B82DB6">
            <w:r>
              <w:lastRenderedPageBreak/>
              <w:t>Replicability</w:t>
            </w:r>
          </w:p>
        </w:tc>
        <w:tc>
          <w:tcPr>
            <w:tcW w:w="7265" w:type="dxa"/>
          </w:tcPr>
          <w:p w14:paraId="5CB75108" w14:textId="77777777" w:rsidR="00010BD2" w:rsidRDefault="00B82DB6">
            <w:pPr>
              <w:jc w:val="both"/>
              <w:rPr>
                <w:lang w:val="en-US"/>
              </w:rPr>
            </w:pPr>
            <w:r>
              <w:rPr>
                <w:lang w:val="en-US"/>
              </w:rPr>
              <w:t>The attribute of an Implementation whose Performance, as Assessed by a Performance Assessor, can be replicated, within an agreed level, by another Performance Assessor.</w:t>
            </w:r>
          </w:p>
        </w:tc>
      </w:tr>
      <w:tr w:rsidR="00010BD2" w14:paraId="5CB7510C" w14:textId="77777777">
        <w:trPr>
          <w:jc w:val="center"/>
        </w:trPr>
        <w:tc>
          <w:tcPr>
            <w:tcW w:w="2079" w:type="dxa"/>
          </w:tcPr>
          <w:p w14:paraId="5CB7510A" w14:textId="77777777" w:rsidR="00010BD2" w:rsidRDefault="00B82DB6">
            <w:r>
              <w:t>Robustness</w:t>
            </w:r>
          </w:p>
        </w:tc>
        <w:tc>
          <w:tcPr>
            <w:tcW w:w="7265" w:type="dxa"/>
          </w:tcPr>
          <w:p w14:paraId="5CB7510B" w14:textId="77777777" w:rsidR="00010BD2" w:rsidRDefault="00B82DB6">
            <w:pPr>
              <w:jc w:val="both"/>
              <w:rPr>
                <w:lang w:val="en-US"/>
              </w:rPr>
            </w:pPr>
            <w:r>
              <w:rPr>
                <w:lang w:val="en-US"/>
              </w:rPr>
              <w:t>The attribute of an Implementation that copes with data outside of the stated application scope with an estimated degree of confidence.</w:t>
            </w:r>
          </w:p>
        </w:tc>
      </w:tr>
      <w:tr w:rsidR="00010BD2" w14:paraId="5CB7510F" w14:textId="77777777">
        <w:trPr>
          <w:jc w:val="center"/>
        </w:trPr>
        <w:tc>
          <w:tcPr>
            <w:tcW w:w="2079" w:type="dxa"/>
          </w:tcPr>
          <w:p w14:paraId="5CB7510D" w14:textId="77777777" w:rsidR="00010BD2" w:rsidRDefault="00B82DB6">
            <w:r>
              <w:t>Scope</w:t>
            </w:r>
          </w:p>
        </w:tc>
        <w:tc>
          <w:tcPr>
            <w:tcW w:w="7265" w:type="dxa"/>
          </w:tcPr>
          <w:p w14:paraId="5CB7510E" w14:textId="77777777" w:rsidR="00010BD2" w:rsidRDefault="00B82DB6">
            <w:pPr>
              <w:jc w:val="both"/>
              <w:rPr>
                <w:lang w:val="en-US"/>
              </w:rPr>
            </w:pPr>
            <w:r>
              <w:rPr>
                <w:lang w:val="en-US"/>
              </w:rPr>
              <w:t>The domain of applicability of an MPAI Application Standard.</w:t>
            </w:r>
          </w:p>
        </w:tc>
      </w:tr>
      <w:tr w:rsidR="00010BD2" w14:paraId="5CB75112" w14:textId="77777777">
        <w:trPr>
          <w:jc w:val="center"/>
        </w:trPr>
        <w:tc>
          <w:tcPr>
            <w:tcW w:w="2079" w:type="dxa"/>
          </w:tcPr>
          <w:p w14:paraId="5CB75110" w14:textId="77777777" w:rsidR="00010BD2" w:rsidRDefault="00B82DB6">
            <w:r>
              <w:t>Service Provider</w:t>
            </w:r>
          </w:p>
        </w:tc>
        <w:tc>
          <w:tcPr>
            <w:tcW w:w="7265" w:type="dxa"/>
          </w:tcPr>
          <w:p w14:paraId="5CB75111" w14:textId="77777777" w:rsidR="00010BD2" w:rsidRDefault="00B82DB6">
            <w:pPr>
              <w:jc w:val="both"/>
              <w:rPr>
                <w:lang w:val="en-US"/>
              </w:rPr>
            </w:pPr>
            <w:r>
              <w:rPr>
                <w:lang w:val="en-US"/>
              </w:rPr>
              <w:t>An entrepreneur who offers an Implementation as a service (e.g., a recommendation service) to Users.</w:t>
            </w:r>
          </w:p>
        </w:tc>
      </w:tr>
      <w:tr w:rsidR="00010BD2" w14:paraId="5CB75115" w14:textId="77777777">
        <w:trPr>
          <w:jc w:val="center"/>
        </w:trPr>
        <w:tc>
          <w:tcPr>
            <w:tcW w:w="2079" w:type="dxa"/>
          </w:tcPr>
          <w:p w14:paraId="5CB75113" w14:textId="77777777" w:rsidR="00010BD2" w:rsidRDefault="00B82DB6">
            <w:r>
              <w:t>Specification</w:t>
            </w:r>
          </w:p>
        </w:tc>
        <w:tc>
          <w:tcPr>
            <w:tcW w:w="7265" w:type="dxa"/>
          </w:tcPr>
          <w:p w14:paraId="5CB75114" w14:textId="77777777" w:rsidR="00010BD2" w:rsidRDefault="00B82DB6">
            <w:pPr>
              <w:jc w:val="both"/>
              <w:rPr>
                <w:lang w:val="en-US"/>
              </w:rPr>
            </w:pPr>
            <w:r>
              <w:rPr>
                <w:lang w:val="en-US"/>
              </w:rPr>
              <w:t>A collection of normative clauses.</w:t>
            </w:r>
          </w:p>
        </w:tc>
      </w:tr>
      <w:tr w:rsidR="00010BD2" w14:paraId="5CB75118" w14:textId="77777777">
        <w:trPr>
          <w:jc w:val="center"/>
        </w:trPr>
        <w:tc>
          <w:tcPr>
            <w:tcW w:w="2079" w:type="dxa"/>
          </w:tcPr>
          <w:p w14:paraId="5CB75116" w14:textId="77777777" w:rsidR="00010BD2" w:rsidRDefault="00B82DB6">
            <w:r>
              <w:t>Standard</w:t>
            </w:r>
          </w:p>
        </w:tc>
        <w:tc>
          <w:tcPr>
            <w:tcW w:w="7265" w:type="dxa"/>
          </w:tcPr>
          <w:p w14:paraId="5CB75117" w14:textId="77777777" w:rsidR="00010BD2" w:rsidRDefault="00B82DB6">
            <w:pPr>
              <w:jc w:val="both"/>
              <w:rPr>
                <w:lang w:val="en-US"/>
              </w:rPr>
            </w:pPr>
            <w:r>
              <w:rPr>
                <w:lang w:val="en-US"/>
              </w:rPr>
              <w:t xml:space="preserve">The ensemble of Technical Specification, Reference Software, Conformance Testing and Performance Assessment of an MPAI application Standard. </w:t>
            </w:r>
          </w:p>
        </w:tc>
      </w:tr>
      <w:tr w:rsidR="00010BD2" w14:paraId="5CB7511F" w14:textId="77777777">
        <w:trPr>
          <w:jc w:val="center"/>
        </w:trPr>
        <w:tc>
          <w:tcPr>
            <w:tcW w:w="2079" w:type="dxa"/>
          </w:tcPr>
          <w:p w14:paraId="5CB75119" w14:textId="77777777" w:rsidR="00010BD2" w:rsidRDefault="00B82DB6">
            <w:r>
              <w:t>Technical Specification</w:t>
            </w:r>
          </w:p>
        </w:tc>
        <w:tc>
          <w:tcPr>
            <w:tcW w:w="7265" w:type="dxa"/>
          </w:tcPr>
          <w:p w14:paraId="5CB7511A" w14:textId="77777777" w:rsidR="00010BD2" w:rsidRDefault="00B82DB6">
            <w:pPr>
              <w:jc w:val="both"/>
            </w:pPr>
            <w:r>
              <w:t>(Framework) the normative specification of the AIF.</w:t>
            </w:r>
          </w:p>
          <w:p w14:paraId="5CB7511B" w14:textId="77777777" w:rsidR="00010BD2" w:rsidRDefault="00B82DB6">
            <w:pPr>
              <w:jc w:val="both"/>
            </w:pPr>
            <w:r>
              <w:t>(Application) the normative specification of the set of AIWs belon</w:t>
            </w:r>
            <w:r>
              <w:softHyphen/>
              <w:t>ging to an application domain along with the AIMs required to Im</w:t>
            </w:r>
            <w:r>
              <w:softHyphen/>
              <w:t>plem</w:t>
            </w:r>
            <w:r>
              <w:softHyphen/>
              <w:t>ent the AIWs that includes:</w:t>
            </w:r>
          </w:p>
          <w:p w14:paraId="5CB7511C" w14:textId="77777777" w:rsidR="00010BD2" w:rsidRDefault="00B82DB6">
            <w:pPr>
              <w:pStyle w:val="ListParagraph"/>
              <w:numPr>
                <w:ilvl w:val="0"/>
                <w:numId w:val="5"/>
              </w:numPr>
              <w:jc w:val="both"/>
            </w:pPr>
            <w:r>
              <w:t>The formats of the Input/Output data of the AIWs implementing the AIWs.</w:t>
            </w:r>
          </w:p>
          <w:p w14:paraId="5CB7511D" w14:textId="77777777" w:rsidR="00010BD2" w:rsidRDefault="00B82DB6">
            <w:pPr>
              <w:pStyle w:val="ListParagraph"/>
              <w:numPr>
                <w:ilvl w:val="0"/>
                <w:numId w:val="5"/>
              </w:numPr>
              <w:jc w:val="both"/>
            </w:pPr>
            <w:r>
              <w:t>The Connections of the AIMs of the AIW.</w:t>
            </w:r>
          </w:p>
          <w:p w14:paraId="5CB7511E" w14:textId="77777777" w:rsidR="00010BD2" w:rsidRDefault="00B82DB6">
            <w:pPr>
              <w:pStyle w:val="ListParagraph"/>
              <w:numPr>
                <w:ilvl w:val="0"/>
                <w:numId w:val="5"/>
              </w:numPr>
              <w:jc w:val="both"/>
              <w:rPr>
                <w:lang w:val="en-US"/>
              </w:rPr>
            </w:pPr>
            <w:r>
              <w:t>The formats of the Input/Output data of the AIMs belonging to the AIW.</w:t>
            </w:r>
          </w:p>
        </w:tc>
      </w:tr>
      <w:tr w:rsidR="00010BD2" w14:paraId="5CB75122" w14:textId="77777777">
        <w:trPr>
          <w:jc w:val="center"/>
        </w:trPr>
        <w:tc>
          <w:tcPr>
            <w:tcW w:w="2079" w:type="dxa"/>
          </w:tcPr>
          <w:p w14:paraId="5CB75120" w14:textId="77777777" w:rsidR="00010BD2" w:rsidRDefault="00B82DB6">
            <w:r>
              <w:t>Testing Laboratory</w:t>
            </w:r>
          </w:p>
        </w:tc>
        <w:tc>
          <w:tcPr>
            <w:tcW w:w="7265" w:type="dxa"/>
          </w:tcPr>
          <w:p w14:paraId="5CB75121" w14:textId="77777777" w:rsidR="00010BD2" w:rsidRDefault="00B82DB6">
            <w:pPr>
              <w:jc w:val="both"/>
            </w:pPr>
            <w:r>
              <w:t xml:space="preserve">A laboratory accredited by MPAI to Assess the Grade </w:t>
            </w:r>
            <w:proofErr w:type="gramStart"/>
            <w:r>
              <w:t>of  Performance</w:t>
            </w:r>
            <w:proofErr w:type="gramEnd"/>
            <w:r>
              <w:t xml:space="preserve"> of Implementations. </w:t>
            </w:r>
          </w:p>
        </w:tc>
      </w:tr>
      <w:tr w:rsidR="00010BD2" w14:paraId="5CB75125" w14:textId="77777777">
        <w:trPr>
          <w:jc w:val="center"/>
        </w:trPr>
        <w:tc>
          <w:tcPr>
            <w:tcW w:w="2079" w:type="dxa"/>
          </w:tcPr>
          <w:p w14:paraId="5CB75123" w14:textId="77777777" w:rsidR="00010BD2" w:rsidRDefault="00B82DB6">
            <w:r>
              <w:t>Time Base</w:t>
            </w:r>
          </w:p>
        </w:tc>
        <w:tc>
          <w:tcPr>
            <w:tcW w:w="7265" w:type="dxa"/>
          </w:tcPr>
          <w:p w14:paraId="5CB75124" w14:textId="77777777" w:rsidR="00010BD2" w:rsidRDefault="00B82DB6">
            <w:pPr>
              <w:jc w:val="both"/>
              <w:rPr>
                <w:lang w:val="en-US"/>
              </w:rPr>
            </w:pPr>
            <w:r>
              <w:t>The protocol specifying how AIF Components can access timing information.</w:t>
            </w:r>
          </w:p>
        </w:tc>
      </w:tr>
      <w:tr w:rsidR="00010BD2" w14:paraId="5CB75128" w14:textId="77777777">
        <w:trPr>
          <w:jc w:val="center"/>
        </w:trPr>
        <w:tc>
          <w:tcPr>
            <w:tcW w:w="2079" w:type="dxa"/>
          </w:tcPr>
          <w:p w14:paraId="5CB75126" w14:textId="77777777" w:rsidR="00010BD2" w:rsidRDefault="00B82DB6">
            <w:r>
              <w:t>Topology</w:t>
            </w:r>
          </w:p>
        </w:tc>
        <w:tc>
          <w:tcPr>
            <w:tcW w:w="7265" w:type="dxa"/>
          </w:tcPr>
          <w:p w14:paraId="5CB75127" w14:textId="77777777" w:rsidR="00010BD2" w:rsidRDefault="00B82DB6">
            <w:pPr>
              <w:jc w:val="both"/>
              <w:rPr>
                <w:lang w:val="en-US"/>
              </w:rPr>
            </w:pPr>
            <w:r>
              <w:rPr>
                <w:lang w:val="en-US"/>
              </w:rPr>
              <w:t>The set of AIM Connections of an AIW.</w:t>
            </w:r>
          </w:p>
        </w:tc>
      </w:tr>
      <w:tr w:rsidR="00010BD2" w14:paraId="5CB7512B" w14:textId="77777777">
        <w:trPr>
          <w:jc w:val="center"/>
        </w:trPr>
        <w:tc>
          <w:tcPr>
            <w:tcW w:w="2079" w:type="dxa"/>
          </w:tcPr>
          <w:p w14:paraId="5CB75129" w14:textId="77777777" w:rsidR="00010BD2" w:rsidRDefault="00B82DB6">
            <w:r>
              <w:t>Use Case</w:t>
            </w:r>
          </w:p>
        </w:tc>
        <w:tc>
          <w:tcPr>
            <w:tcW w:w="7265" w:type="dxa"/>
          </w:tcPr>
          <w:p w14:paraId="5CB7512A" w14:textId="77777777" w:rsidR="00010BD2" w:rsidRDefault="00B82DB6">
            <w:pPr>
              <w:jc w:val="both"/>
              <w:rPr>
                <w:lang w:val="en-US"/>
              </w:rPr>
            </w:pPr>
            <w:r>
              <w:rPr>
                <w:lang w:val="en-US"/>
              </w:rPr>
              <w:t>A particular instance of the Application domain target of an Application Standard.</w:t>
            </w:r>
          </w:p>
        </w:tc>
      </w:tr>
      <w:tr w:rsidR="00010BD2" w14:paraId="5CB7512E" w14:textId="77777777">
        <w:trPr>
          <w:jc w:val="center"/>
        </w:trPr>
        <w:tc>
          <w:tcPr>
            <w:tcW w:w="2079" w:type="dxa"/>
          </w:tcPr>
          <w:p w14:paraId="5CB7512C" w14:textId="77777777" w:rsidR="00010BD2" w:rsidRDefault="00B82DB6">
            <w:r>
              <w:t>User</w:t>
            </w:r>
          </w:p>
        </w:tc>
        <w:tc>
          <w:tcPr>
            <w:tcW w:w="7265" w:type="dxa"/>
          </w:tcPr>
          <w:p w14:paraId="5CB7512D" w14:textId="77777777" w:rsidR="00010BD2" w:rsidRDefault="00B82DB6">
            <w:pPr>
              <w:jc w:val="both"/>
              <w:rPr>
                <w:lang w:val="en-US"/>
              </w:rPr>
            </w:pPr>
            <w:r>
              <w:rPr>
                <w:lang w:val="en-US"/>
              </w:rPr>
              <w:t>A user of an Implementation.</w:t>
            </w:r>
          </w:p>
        </w:tc>
      </w:tr>
      <w:tr w:rsidR="00010BD2" w14:paraId="5CB75131" w14:textId="77777777">
        <w:trPr>
          <w:jc w:val="center"/>
        </w:trPr>
        <w:tc>
          <w:tcPr>
            <w:tcW w:w="2079" w:type="dxa"/>
          </w:tcPr>
          <w:p w14:paraId="5CB7512F" w14:textId="77777777" w:rsidR="00010BD2" w:rsidRDefault="00B82DB6">
            <w:r>
              <w:t>User Agent</w:t>
            </w:r>
          </w:p>
        </w:tc>
        <w:tc>
          <w:tcPr>
            <w:tcW w:w="7265" w:type="dxa"/>
          </w:tcPr>
          <w:p w14:paraId="5CB75130" w14:textId="77777777" w:rsidR="00010BD2" w:rsidRDefault="00B82DB6">
            <w:pPr>
              <w:jc w:val="both"/>
              <w:rPr>
                <w:lang w:val="en-US"/>
              </w:rPr>
            </w:pPr>
            <w:r>
              <w:rPr>
                <w:color w:val="000000"/>
              </w:rPr>
              <w:t>The Component interfacing the user with an AIF through the Controller</w:t>
            </w:r>
          </w:p>
        </w:tc>
      </w:tr>
      <w:tr w:rsidR="00010BD2" w14:paraId="5CB75134" w14:textId="77777777">
        <w:trPr>
          <w:jc w:val="center"/>
        </w:trPr>
        <w:tc>
          <w:tcPr>
            <w:tcW w:w="2079" w:type="dxa"/>
          </w:tcPr>
          <w:p w14:paraId="5CB75132" w14:textId="77777777" w:rsidR="00010BD2" w:rsidRDefault="00B82DB6">
            <w:r>
              <w:t>Version</w:t>
            </w:r>
          </w:p>
        </w:tc>
        <w:tc>
          <w:tcPr>
            <w:tcW w:w="7265" w:type="dxa"/>
          </w:tcPr>
          <w:p w14:paraId="5CB75133" w14:textId="77777777" w:rsidR="00010BD2" w:rsidRDefault="00B82DB6">
            <w:pPr>
              <w:jc w:val="both"/>
              <w:rPr>
                <w:lang w:val="en-US"/>
              </w:rPr>
            </w:pPr>
            <w:r>
              <w:rPr>
                <w:lang w:val="en-US"/>
              </w:rPr>
              <w:t>A revision or extension of a Standard or of one of its elements.</w:t>
            </w:r>
          </w:p>
        </w:tc>
      </w:tr>
      <w:tr w:rsidR="00010BD2" w14:paraId="5CB75137" w14:textId="77777777">
        <w:trPr>
          <w:jc w:val="center"/>
        </w:trPr>
        <w:tc>
          <w:tcPr>
            <w:tcW w:w="2079" w:type="dxa"/>
          </w:tcPr>
          <w:p w14:paraId="5CB75135" w14:textId="77777777" w:rsidR="00010BD2" w:rsidRDefault="00B82DB6">
            <w:r>
              <w:t>Zero Trust</w:t>
            </w:r>
          </w:p>
        </w:tc>
        <w:tc>
          <w:tcPr>
            <w:tcW w:w="7265" w:type="dxa"/>
          </w:tcPr>
          <w:p w14:paraId="5CB75136" w14:textId="77777777" w:rsidR="00010BD2" w:rsidRDefault="00B82DB6">
            <w:pPr>
              <w:jc w:val="both"/>
              <w:rPr>
                <w:lang w:val="en-US"/>
              </w:rPr>
            </w:pPr>
            <w:r>
              <w:t>A cybersecurity model primarily focused on data and service protection that assumes no implicit trust.</w:t>
            </w:r>
          </w:p>
        </w:tc>
      </w:tr>
    </w:tbl>
    <w:p w14:paraId="5CB75138" w14:textId="77777777" w:rsidR="00010BD2" w:rsidRDefault="00010BD2"/>
    <w:p w14:paraId="5CB75139" w14:textId="77777777" w:rsidR="00010BD2" w:rsidRDefault="00010BD2">
      <w:pPr>
        <w:rPr>
          <w:lang w:val="en-US"/>
        </w:rPr>
      </w:pPr>
    </w:p>
    <w:p w14:paraId="5CB7513A" w14:textId="77777777" w:rsidR="00010BD2" w:rsidRDefault="00B82DB6">
      <w:pPr>
        <w:rPr>
          <w:rFonts w:cs="Arial"/>
          <w:b/>
          <w:bCs/>
          <w:kern w:val="2"/>
          <w:sz w:val="28"/>
          <w:szCs w:val="32"/>
          <w:lang w:val="en-US"/>
        </w:rPr>
      </w:pPr>
      <w:r>
        <w:br w:type="page"/>
      </w:r>
    </w:p>
    <w:p w14:paraId="5CB7513B" w14:textId="77777777" w:rsidR="00010BD2" w:rsidRDefault="00B82DB6">
      <w:pPr>
        <w:pStyle w:val="Heading1"/>
        <w:numPr>
          <w:ilvl w:val="0"/>
          <w:numId w:val="0"/>
        </w:numPr>
        <w:ind w:left="432" w:hanging="432"/>
        <w:jc w:val="center"/>
        <w:rPr>
          <w:lang w:val="en-US"/>
        </w:rPr>
      </w:pPr>
      <w:bookmarkStart w:id="32" w:name="_Toc101799306"/>
      <w:bookmarkStart w:id="33" w:name="_Toc82798347"/>
      <w:bookmarkStart w:id="34" w:name="_Toc80217731"/>
      <w:r>
        <w:rPr>
          <w:lang w:val="en-US"/>
        </w:rPr>
        <w:lastRenderedPageBreak/>
        <w:t>Annex 2 - Notices and Disclaimers Concerning MPAI Standards (Informative)</w:t>
      </w:r>
      <w:bookmarkEnd w:id="32"/>
      <w:bookmarkEnd w:id="33"/>
      <w:bookmarkEnd w:id="34"/>
    </w:p>
    <w:p w14:paraId="5CB7513C" w14:textId="77777777" w:rsidR="00010BD2" w:rsidRDefault="00010BD2">
      <w:pPr>
        <w:jc w:val="both"/>
        <w:rPr>
          <w:lang w:val="en-US"/>
        </w:rPr>
      </w:pPr>
      <w:bookmarkStart w:id="35" w:name="_Hlk82786264"/>
      <w:bookmarkEnd w:id="35"/>
    </w:p>
    <w:p w14:paraId="5CB7513D" w14:textId="77777777" w:rsidR="00010BD2" w:rsidRDefault="00B82DB6">
      <w:pPr>
        <w:jc w:val="both"/>
        <w:rPr>
          <w:lang w:val="en-US"/>
        </w:rPr>
      </w:pPr>
      <w:r>
        <w:rPr>
          <w:lang w:val="en-US"/>
        </w:rPr>
        <w:t xml:space="preserve">The notices and legal disclaimers given below shall be borne in mind when </w:t>
      </w:r>
      <w:hyperlink r:id="rId15">
        <w:r>
          <w:rPr>
            <w:rStyle w:val="Hyperlink"/>
            <w:lang w:val="en-US"/>
          </w:rPr>
          <w:t>downloading</w:t>
        </w:r>
      </w:hyperlink>
      <w:r>
        <w:rPr>
          <w:lang w:val="en-US"/>
        </w:rPr>
        <w:t xml:space="preserve"> and using approved MPAI Standards.</w:t>
      </w:r>
    </w:p>
    <w:p w14:paraId="5CB7513E" w14:textId="77777777" w:rsidR="00010BD2" w:rsidRDefault="00010BD2">
      <w:pPr>
        <w:jc w:val="both"/>
        <w:rPr>
          <w:lang w:val="en-US"/>
        </w:rPr>
      </w:pPr>
    </w:p>
    <w:p w14:paraId="5CB7513F" w14:textId="77777777" w:rsidR="00010BD2" w:rsidRDefault="00B82DB6">
      <w:pPr>
        <w:jc w:val="both"/>
        <w:rPr>
          <w:lang w:val="en-US"/>
        </w:rPr>
      </w:pPr>
      <w:r>
        <w:rPr>
          <w:lang w:val="en-US"/>
        </w:rPr>
        <w:t xml:space="preserve">In the following, “Standard” means the collection of four MPAI-approved and </w:t>
      </w:r>
      <w:hyperlink r:id="rId16">
        <w:r>
          <w:rPr>
            <w:rStyle w:val="Hyperlink"/>
            <w:lang w:val="en-US"/>
          </w:rPr>
          <w:t>published</w:t>
        </w:r>
      </w:hyperlink>
      <w:r>
        <w:rPr>
          <w:lang w:val="en-US"/>
        </w:rPr>
        <w:t xml:space="preserve"> documents: “Technical Specification”, “Reference Software” and “Conformance Testing” and, where applicable, “Performance Testing”.</w:t>
      </w:r>
    </w:p>
    <w:p w14:paraId="5CB75140" w14:textId="77777777" w:rsidR="00010BD2" w:rsidRDefault="00010BD2">
      <w:pPr>
        <w:jc w:val="both"/>
        <w:rPr>
          <w:lang w:val="en-US"/>
        </w:rPr>
      </w:pPr>
    </w:p>
    <w:p w14:paraId="5CB75141" w14:textId="77777777" w:rsidR="00010BD2" w:rsidRDefault="00B82DB6">
      <w:pPr>
        <w:jc w:val="both"/>
        <w:rPr>
          <w:u w:val="single"/>
          <w:lang w:val="en-US"/>
        </w:rPr>
      </w:pPr>
      <w:r>
        <w:rPr>
          <w:u w:val="single"/>
          <w:lang w:val="en-US"/>
        </w:rPr>
        <w:t>Life cycle of MPAI Standards</w:t>
      </w:r>
    </w:p>
    <w:p w14:paraId="5CB75142" w14:textId="77777777" w:rsidR="00010BD2" w:rsidRDefault="00B82DB6">
      <w:pPr>
        <w:jc w:val="both"/>
        <w:rPr>
          <w:lang w:val="en-US"/>
        </w:rPr>
      </w:pPr>
      <w:r>
        <w:rPr>
          <w:lang w:val="en-US"/>
        </w:rPr>
        <w:t xml:space="preserve">MPAI Standards are developed in accordance with the </w:t>
      </w:r>
      <w:hyperlink r:id="rId17">
        <w:r>
          <w:rPr>
            <w:rStyle w:val="Hyperlink"/>
            <w:lang w:val="en-US"/>
          </w:rPr>
          <w:t>MPAI Statutes</w:t>
        </w:r>
      </w:hyperlink>
      <w:r>
        <w:rPr>
          <w:lang w:val="en-US"/>
        </w:rPr>
        <w:t xml:space="preserve">. An MPAI Standard may only be developed when a Framework </w:t>
      </w:r>
      <w:proofErr w:type="spellStart"/>
      <w:r>
        <w:rPr>
          <w:lang w:val="en-US"/>
        </w:rPr>
        <w:t>Licence</w:t>
      </w:r>
      <w:proofErr w:type="spellEnd"/>
      <w:r>
        <w:rPr>
          <w:lang w:val="en-US"/>
        </w:rPr>
        <w:t xml:space="preserve"> has been adopted. MPAI Standards are developed by especially established MPAI Development Committees who operate </w:t>
      </w:r>
      <w:proofErr w:type="gramStart"/>
      <w:r>
        <w:rPr>
          <w:lang w:val="en-US"/>
        </w:rPr>
        <w:t>on the basis of</w:t>
      </w:r>
      <w:proofErr w:type="gramEnd"/>
      <w:r>
        <w:rPr>
          <w:lang w:val="en-US"/>
        </w:rPr>
        <w:t xml:space="preserve"> consensus, as specified in Annex 1 of the </w:t>
      </w:r>
      <w:hyperlink r:id="rId18">
        <w:r>
          <w:rPr>
            <w:rStyle w:val="Hyperlink"/>
            <w:lang w:val="en-US"/>
          </w:rPr>
          <w:t>MPAI Statutes</w:t>
        </w:r>
      </w:hyperlink>
      <w:r>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5CB75143" w14:textId="77777777" w:rsidR="00010BD2" w:rsidRDefault="00010BD2">
      <w:pPr>
        <w:jc w:val="both"/>
        <w:rPr>
          <w:lang w:val="en-US"/>
        </w:rPr>
      </w:pPr>
    </w:p>
    <w:p w14:paraId="5CB75144" w14:textId="77777777" w:rsidR="00010BD2" w:rsidRDefault="00B82DB6">
      <w:pPr>
        <w:jc w:val="both"/>
        <w:rPr>
          <w:lang w:val="en-US"/>
        </w:rPr>
      </w:pPr>
      <w:r>
        <w:rPr>
          <w:lang w:val="en-US"/>
        </w:rPr>
        <w:t xml:space="preserve">MPAI Standards may be modified at any time by corrigenda or new editions. A new edition, however, may not necessarily replace an existing MPAI standard. Visit the </w:t>
      </w:r>
      <w:hyperlink r:id="rId19">
        <w:r>
          <w:rPr>
            <w:rStyle w:val="Hyperlink"/>
            <w:lang w:val="en-US"/>
          </w:rPr>
          <w:t>web page</w:t>
        </w:r>
      </w:hyperlink>
      <w:r>
        <w:rPr>
          <w:lang w:val="en-US"/>
        </w:rPr>
        <w:t xml:space="preserve"> to determine the status of any given published MPAI Standard.</w:t>
      </w:r>
    </w:p>
    <w:p w14:paraId="5CB75145" w14:textId="77777777" w:rsidR="00010BD2" w:rsidRDefault="00010BD2">
      <w:pPr>
        <w:jc w:val="both"/>
        <w:rPr>
          <w:lang w:val="en-US"/>
        </w:rPr>
      </w:pPr>
    </w:p>
    <w:p w14:paraId="5CB75146" w14:textId="77777777" w:rsidR="00010BD2" w:rsidRDefault="00B82DB6">
      <w:pPr>
        <w:jc w:val="both"/>
        <w:rPr>
          <w:lang w:val="en-US"/>
        </w:rPr>
      </w:pPr>
      <w:r>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0">
        <w:r>
          <w:rPr>
            <w:rStyle w:val="Hyperlink"/>
            <w:lang w:val="en-US"/>
          </w:rPr>
          <w:t>MPAI Secretariat</w:t>
        </w:r>
      </w:hyperlink>
      <w:r>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5CB75147" w14:textId="77777777" w:rsidR="00010BD2" w:rsidRDefault="00010BD2">
      <w:pPr>
        <w:jc w:val="both"/>
        <w:rPr>
          <w:lang w:val="en-US"/>
        </w:rPr>
      </w:pPr>
    </w:p>
    <w:p w14:paraId="5CB75148" w14:textId="77777777" w:rsidR="00010BD2" w:rsidRDefault="00B82DB6">
      <w:pPr>
        <w:jc w:val="both"/>
        <w:rPr>
          <w:u w:val="single"/>
          <w:lang w:val="en-US"/>
        </w:rPr>
      </w:pPr>
      <w:r>
        <w:rPr>
          <w:u w:val="single"/>
          <w:lang w:val="en-US"/>
        </w:rPr>
        <w:t>Coverage and Applicability of MPAI Standards</w:t>
      </w:r>
    </w:p>
    <w:p w14:paraId="5CB75149" w14:textId="77777777" w:rsidR="00010BD2" w:rsidRDefault="00B82DB6">
      <w:pPr>
        <w:jc w:val="both"/>
        <w:rPr>
          <w:lang w:val="en-US"/>
        </w:rPr>
      </w:pPr>
      <w:r>
        <w:rPr>
          <w:lang w:val="en-US"/>
        </w:rPr>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5CB7514A" w14:textId="77777777" w:rsidR="00010BD2" w:rsidRDefault="00010BD2">
      <w:pPr>
        <w:jc w:val="both"/>
        <w:rPr>
          <w:lang w:val="en-US"/>
        </w:rPr>
      </w:pPr>
    </w:p>
    <w:p w14:paraId="5CB7514B" w14:textId="77777777" w:rsidR="00010BD2" w:rsidRDefault="00B82DB6">
      <w:pPr>
        <w:jc w:val="both"/>
        <w:rPr>
          <w:lang w:val="en-US"/>
        </w:rPr>
      </w:pPr>
      <w:r>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CB7514C" w14:textId="77777777" w:rsidR="00010BD2" w:rsidRDefault="00010BD2">
      <w:pPr>
        <w:jc w:val="both"/>
        <w:rPr>
          <w:lang w:val="en-US"/>
        </w:rPr>
      </w:pPr>
    </w:p>
    <w:p w14:paraId="5CB7514D" w14:textId="77777777" w:rsidR="00010BD2" w:rsidRDefault="00B82DB6">
      <w:pPr>
        <w:jc w:val="both"/>
        <w:rPr>
          <w:lang w:val="en-US"/>
        </w:rPr>
      </w:pPr>
      <w:r>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Pr>
          <w:lang w:val="en-US"/>
        </w:rPr>
        <w:lastRenderedPageBreak/>
        <w:t>ADVISED OF THE POSSIBILITY OF SUCH DAMAGE AND REGARDLESS OF WHETHER SUCH DAMAGE WAS FORESEEABLE.</w:t>
      </w:r>
    </w:p>
    <w:p w14:paraId="5CB7514E" w14:textId="77777777" w:rsidR="00010BD2" w:rsidRDefault="00010BD2">
      <w:pPr>
        <w:jc w:val="both"/>
        <w:rPr>
          <w:lang w:val="en-US"/>
        </w:rPr>
      </w:pPr>
    </w:p>
    <w:p w14:paraId="5CB7514F" w14:textId="77777777" w:rsidR="00010BD2" w:rsidRDefault="00B82DB6">
      <w:pPr>
        <w:jc w:val="both"/>
        <w:rPr>
          <w:lang w:val="en-US"/>
        </w:rPr>
      </w:pPr>
      <w:r>
        <w:rPr>
          <w:lang w:val="en-US"/>
        </w:rPr>
        <w:t xml:space="preserve">MPAI alerts users that practicing its Standards may infringe patents and other rights of third parties. Submitters of technologies to this standard have agreed to </w:t>
      </w:r>
      <w:proofErr w:type="spellStart"/>
      <w:r>
        <w:rPr>
          <w:lang w:val="en-US"/>
        </w:rPr>
        <w:t>licence</w:t>
      </w:r>
      <w:proofErr w:type="spellEnd"/>
      <w:r>
        <w:rPr>
          <w:lang w:val="en-US"/>
        </w:rPr>
        <w:t xml:space="preserve"> their Intellectual Property according to their respective Framework </w:t>
      </w:r>
      <w:proofErr w:type="spellStart"/>
      <w:r>
        <w:rPr>
          <w:lang w:val="en-US"/>
        </w:rPr>
        <w:t>Licences</w:t>
      </w:r>
      <w:proofErr w:type="spellEnd"/>
      <w:r>
        <w:rPr>
          <w:lang w:val="en-US"/>
        </w:rPr>
        <w:t>.</w:t>
      </w:r>
    </w:p>
    <w:p w14:paraId="5CB75150" w14:textId="77777777" w:rsidR="00010BD2" w:rsidRDefault="00010BD2">
      <w:pPr>
        <w:jc w:val="both"/>
        <w:rPr>
          <w:lang w:val="en-US"/>
        </w:rPr>
      </w:pPr>
    </w:p>
    <w:p w14:paraId="5CB75151" w14:textId="77777777" w:rsidR="00010BD2" w:rsidRDefault="00B82DB6">
      <w:pPr>
        <w:jc w:val="both"/>
        <w:rPr>
          <w:lang w:val="en-US"/>
        </w:rPr>
      </w:pPr>
      <w:r>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1">
        <w:r>
          <w:rPr>
            <w:rStyle w:val="Hyperlink"/>
            <w:lang w:val="en-US"/>
          </w:rPr>
          <w:t>MPAI Governance</w:t>
        </w:r>
      </w:hyperlink>
      <w:r>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w:t>
      </w:r>
      <w:proofErr w:type="gramStart"/>
      <w:r>
        <w:rPr>
          <w:lang w:val="en-US"/>
        </w:rPr>
        <w:t>In particular, users</w:t>
      </w:r>
      <w:proofErr w:type="gramEnd"/>
      <w:r>
        <w:rPr>
          <w:lang w:val="en-US"/>
        </w:rPr>
        <w:t xml:space="preserve"> should evaluate MPAI Standards from the viewpoint of data privacy and data ownership in the context of their jurisdictions.</w:t>
      </w:r>
    </w:p>
    <w:p w14:paraId="5CB75152" w14:textId="77777777" w:rsidR="00010BD2" w:rsidRDefault="00010BD2">
      <w:pPr>
        <w:jc w:val="both"/>
        <w:rPr>
          <w:lang w:val="en-US"/>
        </w:rPr>
      </w:pPr>
    </w:p>
    <w:p w14:paraId="5CB75153" w14:textId="77777777" w:rsidR="00010BD2" w:rsidRDefault="00B82DB6">
      <w:pPr>
        <w:jc w:val="both"/>
        <w:rPr>
          <w:lang w:val="en-US"/>
        </w:rPr>
      </w:pPr>
      <w:r>
        <w:rPr>
          <w:lang w:val="en-US"/>
        </w:rPr>
        <w:t>Implementers and users of MPAI Standards documents are responsible for determining and complying with all appropriate safety, security, environmental and health and all applicable laws and regulations.</w:t>
      </w:r>
    </w:p>
    <w:p w14:paraId="5CB75154" w14:textId="77777777" w:rsidR="00010BD2" w:rsidRDefault="00010BD2">
      <w:pPr>
        <w:jc w:val="both"/>
        <w:rPr>
          <w:lang w:val="en-US"/>
        </w:rPr>
      </w:pPr>
    </w:p>
    <w:p w14:paraId="5CB75155" w14:textId="77777777" w:rsidR="00010BD2" w:rsidRDefault="00B82DB6">
      <w:pPr>
        <w:jc w:val="both"/>
        <w:rPr>
          <w:u w:val="single"/>
          <w:lang w:val="en-US"/>
        </w:rPr>
      </w:pPr>
      <w:r>
        <w:rPr>
          <w:u w:val="single"/>
          <w:lang w:val="en-US"/>
        </w:rPr>
        <w:t>Copyright</w:t>
      </w:r>
    </w:p>
    <w:p w14:paraId="5CB75156" w14:textId="4FB47E2E" w:rsidR="00010BD2" w:rsidRDefault="00B82DB6">
      <w:pPr>
        <w:jc w:val="both"/>
        <w:rPr>
          <w:lang w:val="en-US"/>
        </w:rPr>
      </w:pPr>
      <w:r>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w:t>
      </w:r>
      <w:proofErr w:type="spellStart"/>
      <w:r>
        <w:rPr>
          <w:lang w:val="en-US"/>
        </w:rPr>
        <w:t>standardisation</w:t>
      </w:r>
      <w:proofErr w:type="spellEnd"/>
      <w:r>
        <w:rPr>
          <w:lang w:val="en-US"/>
        </w:rPr>
        <w:t xml:space="preserve">. By making these documents available for these and other uses, however, MPAI does not waive any rights in copyright to its Standards. For inquiries regarding the copyright of MPAI standards, please contact the </w:t>
      </w:r>
      <w:hyperlink r:id="rId22">
        <w:r>
          <w:rPr>
            <w:rStyle w:val="Hyperlink"/>
            <w:lang w:val="en-US"/>
          </w:rPr>
          <w:t>MPAI Secretariat</w:t>
        </w:r>
      </w:hyperlink>
      <w:r>
        <w:rPr>
          <w:lang w:val="en-US"/>
        </w:rPr>
        <w:t>.</w:t>
      </w:r>
    </w:p>
    <w:p w14:paraId="5CB75157" w14:textId="77777777" w:rsidR="00010BD2" w:rsidRDefault="00010BD2">
      <w:pPr>
        <w:jc w:val="both"/>
        <w:rPr>
          <w:lang w:val="en-US"/>
        </w:rPr>
      </w:pPr>
    </w:p>
    <w:p w14:paraId="5CB75158" w14:textId="77777777" w:rsidR="00010BD2" w:rsidRDefault="00B82DB6">
      <w:pPr>
        <w:jc w:val="both"/>
        <w:rPr>
          <w:lang w:val="en-US"/>
        </w:rPr>
      </w:pPr>
      <w:r>
        <w:rPr>
          <w:lang w:val="en-US"/>
        </w:rPr>
        <w:t xml:space="preserve">The Reference Software of an MPAI Standard is released with the </w:t>
      </w:r>
      <w:hyperlink r:id="rId23">
        <w:r>
          <w:rPr>
            <w:rStyle w:val="Hyperlink"/>
            <w:lang w:val="en-US"/>
          </w:rPr>
          <w:t xml:space="preserve">MPAI Modified Berkeley Software Distribution </w:t>
        </w:r>
        <w:proofErr w:type="spellStart"/>
        <w:r>
          <w:rPr>
            <w:rStyle w:val="Hyperlink"/>
            <w:lang w:val="en-US"/>
          </w:rPr>
          <w:t>licence</w:t>
        </w:r>
        <w:proofErr w:type="spellEnd"/>
      </w:hyperlink>
      <w:r>
        <w:rPr>
          <w:lang w:val="en-US"/>
        </w:rPr>
        <w:t xml:space="preserve">. However, implementers should be aware that the Reference Software of an MPAI Standard may reference some </w:t>
      </w:r>
      <w:proofErr w:type="gramStart"/>
      <w:r>
        <w:rPr>
          <w:lang w:val="en-US"/>
        </w:rPr>
        <w:t>third party</w:t>
      </w:r>
      <w:proofErr w:type="gramEnd"/>
      <w:r>
        <w:rPr>
          <w:lang w:val="en-US"/>
        </w:rPr>
        <w:t xml:space="preserve"> software that may have a different </w:t>
      </w:r>
      <w:proofErr w:type="spellStart"/>
      <w:r>
        <w:rPr>
          <w:lang w:val="en-US"/>
        </w:rPr>
        <w:t>licence</w:t>
      </w:r>
      <w:proofErr w:type="spellEnd"/>
      <w:r>
        <w:rPr>
          <w:lang w:val="en-US"/>
        </w:rPr>
        <w:t>.</w:t>
      </w:r>
    </w:p>
    <w:p w14:paraId="5CB75159" w14:textId="77777777" w:rsidR="00010BD2" w:rsidRDefault="00B82DB6">
      <w:pPr>
        <w:rPr>
          <w:rFonts w:cs="Arial"/>
          <w:b/>
          <w:bCs/>
          <w:kern w:val="2"/>
          <w:sz w:val="28"/>
          <w:szCs w:val="32"/>
          <w:lang w:val="en-US"/>
        </w:rPr>
      </w:pPr>
      <w:r>
        <w:br w:type="page"/>
      </w:r>
    </w:p>
    <w:p w14:paraId="5CB7515A" w14:textId="77777777" w:rsidR="00010BD2" w:rsidRDefault="00B82DB6">
      <w:pPr>
        <w:pStyle w:val="Heading1"/>
        <w:numPr>
          <w:ilvl w:val="0"/>
          <w:numId w:val="0"/>
        </w:numPr>
        <w:ind w:left="432"/>
        <w:jc w:val="center"/>
        <w:rPr>
          <w:lang w:val="en-US"/>
        </w:rPr>
      </w:pPr>
      <w:bookmarkStart w:id="36" w:name="_Toc101799307"/>
      <w:bookmarkStart w:id="37" w:name="_Toc82798348"/>
      <w:bookmarkStart w:id="38" w:name="_Toc80217732"/>
      <w:r>
        <w:rPr>
          <w:lang w:val="en-US"/>
        </w:rPr>
        <w:lastRenderedPageBreak/>
        <w:t>Annex 3 – The Governance of the MPAI Ecosystem (Informative)</w:t>
      </w:r>
      <w:bookmarkEnd w:id="36"/>
      <w:bookmarkEnd w:id="37"/>
      <w:bookmarkEnd w:id="38"/>
    </w:p>
    <w:p w14:paraId="5CB7515B" w14:textId="77777777" w:rsidR="00010BD2" w:rsidRDefault="00010BD2">
      <w:pPr>
        <w:jc w:val="both"/>
        <w:rPr>
          <w:b/>
          <w:bCs/>
        </w:rPr>
      </w:pPr>
      <w:bookmarkStart w:id="39" w:name="_Toc80217733"/>
      <w:bookmarkStart w:id="40" w:name="_Toc78664423"/>
      <w:bookmarkEnd w:id="39"/>
      <w:bookmarkEnd w:id="40"/>
    </w:p>
    <w:p w14:paraId="5CB7515C" w14:textId="77777777" w:rsidR="00010BD2" w:rsidRDefault="00B82DB6">
      <w:pPr>
        <w:jc w:val="both"/>
        <w:rPr>
          <w:b/>
          <w:bCs/>
        </w:rPr>
      </w:pPr>
      <w:r>
        <w:rPr>
          <w:b/>
          <w:bCs/>
        </w:rPr>
        <w:t>Level 1 Interoperability</w:t>
      </w:r>
    </w:p>
    <w:p w14:paraId="5CB7515D" w14:textId="77777777" w:rsidR="00010BD2" w:rsidRDefault="00B82DB6">
      <w:pPr>
        <w:jc w:val="both"/>
        <w:rPr>
          <w:lang w:val="en-US"/>
        </w:rPr>
      </w:pPr>
      <w:r>
        <w:rPr>
          <w:lang w:val="en-US"/>
        </w:rPr>
        <w:t xml:space="preserve">With reference to </w:t>
      </w:r>
      <w:r>
        <w:rPr>
          <w:lang w:val="en-US"/>
        </w:rPr>
        <w:fldChar w:fldCharType="begin"/>
      </w:r>
      <w:r>
        <w:rPr>
          <w:lang w:val="en-US"/>
        </w:rPr>
        <w:instrText>REF _Ref83385730 \h</w:instrText>
      </w:r>
      <w:r>
        <w:rPr>
          <w:lang w:val="en-US"/>
        </w:rPr>
      </w:r>
      <w:r>
        <w:rPr>
          <w:lang w:val="en-US"/>
        </w:rPr>
        <w:fldChar w:fldCharType="separate"/>
      </w:r>
      <w:r>
        <w:rPr>
          <w:lang w:val="en-US"/>
        </w:rPr>
        <w:t>Figure 1</w:t>
      </w:r>
      <w:r>
        <w:rPr>
          <w:lang w:val="en-US"/>
        </w:rPr>
        <w:fldChar w:fldCharType="end"/>
      </w:r>
      <w:r>
        <w:rPr>
          <w:lang w:val="en-US"/>
        </w:rPr>
        <w:t>, MPAI issues and maintains a standard – called MPAI-AIF – whose components are:</w:t>
      </w:r>
    </w:p>
    <w:p w14:paraId="5CB7515E" w14:textId="77777777" w:rsidR="00010BD2" w:rsidRDefault="00B82DB6">
      <w:pPr>
        <w:pStyle w:val="ListParagraph"/>
        <w:numPr>
          <w:ilvl w:val="0"/>
          <w:numId w:val="2"/>
        </w:numPr>
        <w:jc w:val="both"/>
        <w:rPr>
          <w:lang w:val="en-US"/>
        </w:rPr>
      </w:pPr>
      <w:r>
        <w:rPr>
          <w:lang w:val="en-US"/>
        </w:rPr>
        <w:t>An environment called AI Framework (AIF) running AI Workflows (AIW) composed of inter</w:t>
      </w:r>
      <w:r>
        <w:rPr>
          <w:lang w:val="en-US"/>
        </w:rPr>
        <w:softHyphen/>
        <w:t>connected AI Modules (AIM) exposing standard interfaces.</w:t>
      </w:r>
    </w:p>
    <w:p w14:paraId="5CB7515F" w14:textId="77777777" w:rsidR="00010BD2" w:rsidRDefault="00B82DB6">
      <w:pPr>
        <w:pStyle w:val="ListParagraph"/>
        <w:numPr>
          <w:ilvl w:val="0"/>
          <w:numId w:val="2"/>
        </w:numPr>
        <w:jc w:val="both"/>
        <w:rPr>
          <w:lang w:val="en-US"/>
        </w:rPr>
      </w:pPr>
      <w:r>
        <w:rPr>
          <w:lang w:val="en-US"/>
        </w:rPr>
        <w:t>A distribution system of AIW and AIM Implementation called MPAI Store from which an AIF Implementation can download AIWs and AIMs.</w:t>
      </w:r>
    </w:p>
    <w:p w14:paraId="335C94AC" w14:textId="77777777" w:rsidR="00EB488E" w:rsidRDefault="00EB488E" w:rsidP="00EB488E">
      <w:pPr>
        <w:jc w:val="both"/>
      </w:pPr>
      <w:r w:rsidRPr="00985513">
        <w:t>A Level 1 Implementation shall be an Implementation of the MPAI-AIF Technical Specification executing AIWs composed of AIMs able to call the MPAI-AIF APIs.</w:t>
      </w:r>
    </w:p>
    <w:p w14:paraId="5CB75160" w14:textId="77777777" w:rsidR="00010BD2" w:rsidRPr="00EB488E" w:rsidRDefault="00010BD2">
      <w:pPr>
        <w:jc w:val="both"/>
        <w:rPr>
          <w:highlight w:val="yellow"/>
        </w:rPr>
      </w:pPr>
    </w:p>
    <w:tbl>
      <w:tblPr>
        <w:tblStyle w:val="TableGrid"/>
        <w:tblW w:w="9355" w:type="dxa"/>
        <w:tblLayout w:type="fixed"/>
        <w:tblLook w:val="04A0" w:firstRow="1" w:lastRow="0" w:firstColumn="1" w:lastColumn="0" w:noHBand="0" w:noVBand="1"/>
      </w:tblPr>
      <w:tblGrid>
        <w:gridCol w:w="1700"/>
        <w:gridCol w:w="7655"/>
      </w:tblGrid>
      <w:tr w:rsidR="00010BD2" w14:paraId="5CB75165" w14:textId="77777777">
        <w:tc>
          <w:tcPr>
            <w:tcW w:w="1700" w:type="dxa"/>
            <w:tcBorders>
              <w:top w:val="nil"/>
              <w:left w:val="nil"/>
              <w:bottom w:val="nil"/>
              <w:right w:val="nil"/>
            </w:tcBorders>
          </w:tcPr>
          <w:p w14:paraId="5CB75161" w14:textId="77777777" w:rsidR="00010BD2" w:rsidRDefault="00B82DB6">
            <w:pPr>
              <w:jc w:val="both"/>
              <w:rPr>
                <w:lang w:val="en-US"/>
              </w:rPr>
            </w:pPr>
            <w:r>
              <w:rPr>
                <w:lang w:val="en-US"/>
              </w:rPr>
              <w:t>Implementers’ benefits</w:t>
            </w:r>
          </w:p>
        </w:tc>
        <w:tc>
          <w:tcPr>
            <w:tcW w:w="7654" w:type="dxa"/>
            <w:tcBorders>
              <w:top w:val="nil"/>
              <w:left w:val="nil"/>
              <w:bottom w:val="nil"/>
              <w:right w:val="nil"/>
            </w:tcBorders>
          </w:tcPr>
          <w:p w14:paraId="5CB75162" w14:textId="77777777" w:rsidR="00010BD2" w:rsidRDefault="00B82DB6">
            <w:pPr>
              <w:jc w:val="both"/>
              <w:rPr>
                <w:lang w:val="en-US"/>
              </w:rPr>
            </w:pPr>
            <w:r>
              <w:rPr>
                <w:lang w:val="en-US"/>
              </w:rPr>
              <w:t>Upload to the MPAI Store and have globally distributed Implementations of</w:t>
            </w:r>
          </w:p>
          <w:p w14:paraId="5CB75163" w14:textId="77777777" w:rsidR="00010BD2" w:rsidRDefault="00B82DB6">
            <w:pPr>
              <w:pStyle w:val="ListParagraph"/>
              <w:numPr>
                <w:ilvl w:val="0"/>
                <w:numId w:val="7"/>
              </w:numPr>
              <w:jc w:val="both"/>
              <w:rPr>
                <w:lang w:val="en-US"/>
              </w:rPr>
            </w:pPr>
            <w:r>
              <w:rPr>
                <w:lang w:val="en-US"/>
              </w:rPr>
              <w:t>AIFs conforming to MPAI-AIF.</w:t>
            </w:r>
          </w:p>
          <w:p w14:paraId="5CB75164" w14:textId="77777777" w:rsidR="00010BD2" w:rsidRDefault="00B82DB6">
            <w:pPr>
              <w:pStyle w:val="ListParagraph"/>
              <w:numPr>
                <w:ilvl w:val="0"/>
                <w:numId w:val="7"/>
              </w:numPr>
              <w:jc w:val="both"/>
              <w:rPr>
                <w:lang w:val="en-US"/>
              </w:rPr>
            </w:pPr>
            <w:r>
              <w:rPr>
                <w:lang w:val="en-US"/>
              </w:rPr>
              <w:t>AIWs and AIMs performing prop</w:t>
            </w:r>
            <w:r>
              <w:rPr>
                <w:lang w:val="en-US"/>
              </w:rPr>
              <w:softHyphen/>
              <w:t xml:space="preserve">rietary functions executable in AIF. </w:t>
            </w:r>
          </w:p>
        </w:tc>
      </w:tr>
      <w:tr w:rsidR="00010BD2" w14:paraId="5CB75168" w14:textId="77777777">
        <w:tc>
          <w:tcPr>
            <w:tcW w:w="1700" w:type="dxa"/>
            <w:tcBorders>
              <w:top w:val="nil"/>
              <w:left w:val="nil"/>
              <w:bottom w:val="nil"/>
              <w:right w:val="nil"/>
            </w:tcBorders>
          </w:tcPr>
          <w:p w14:paraId="5CB75166" w14:textId="77777777" w:rsidR="00010BD2" w:rsidRDefault="00B82DB6">
            <w:pPr>
              <w:jc w:val="both"/>
              <w:rPr>
                <w:lang w:val="en-US"/>
              </w:rPr>
            </w:pPr>
            <w:r>
              <w:rPr>
                <w:lang w:val="en-US"/>
              </w:rPr>
              <w:t>Users’ benefits</w:t>
            </w:r>
          </w:p>
        </w:tc>
        <w:tc>
          <w:tcPr>
            <w:tcW w:w="7654" w:type="dxa"/>
            <w:tcBorders>
              <w:top w:val="nil"/>
              <w:left w:val="nil"/>
              <w:bottom w:val="nil"/>
              <w:right w:val="nil"/>
            </w:tcBorders>
          </w:tcPr>
          <w:p w14:paraId="5CB75167" w14:textId="77777777" w:rsidR="00010BD2" w:rsidRDefault="00B82DB6">
            <w:pPr>
              <w:jc w:val="both"/>
              <w:rPr>
                <w:lang w:val="en-US"/>
              </w:rPr>
            </w:pPr>
            <w:r>
              <w:rPr>
                <w:lang w:val="en-US"/>
              </w:rPr>
              <w:t>Rely on Implementations that have been tested for security.</w:t>
            </w:r>
          </w:p>
        </w:tc>
      </w:tr>
      <w:tr w:rsidR="00010BD2" w14:paraId="5CB7516D" w14:textId="77777777">
        <w:tc>
          <w:tcPr>
            <w:tcW w:w="1700" w:type="dxa"/>
            <w:tcBorders>
              <w:top w:val="nil"/>
              <w:left w:val="nil"/>
              <w:bottom w:val="nil"/>
              <w:right w:val="nil"/>
            </w:tcBorders>
          </w:tcPr>
          <w:p w14:paraId="5CB75169" w14:textId="77777777" w:rsidR="00010BD2" w:rsidRDefault="00B82DB6">
            <w:pPr>
              <w:jc w:val="both"/>
              <w:rPr>
                <w:lang w:val="en-US"/>
              </w:rPr>
            </w:pPr>
            <w:r>
              <w:rPr>
                <w:lang w:val="en-US"/>
              </w:rPr>
              <w:t>MPAI Store’s role</w:t>
            </w:r>
          </w:p>
        </w:tc>
        <w:tc>
          <w:tcPr>
            <w:tcW w:w="7654" w:type="dxa"/>
            <w:tcBorders>
              <w:top w:val="nil"/>
              <w:left w:val="nil"/>
              <w:bottom w:val="nil"/>
              <w:right w:val="nil"/>
            </w:tcBorders>
          </w:tcPr>
          <w:p w14:paraId="5CB7516A" w14:textId="77777777" w:rsidR="00010BD2" w:rsidRDefault="00B82DB6">
            <w:pPr>
              <w:pStyle w:val="ListParagraph"/>
              <w:numPr>
                <w:ilvl w:val="0"/>
                <w:numId w:val="7"/>
              </w:numPr>
              <w:jc w:val="both"/>
              <w:rPr>
                <w:lang w:val="en-US"/>
              </w:rPr>
            </w:pPr>
            <w:r>
              <w:rPr>
                <w:lang w:val="en-US"/>
              </w:rPr>
              <w:t>Tests the Conformance of Implementations to MPAI-AIF.</w:t>
            </w:r>
          </w:p>
          <w:p w14:paraId="5CB7516B" w14:textId="77777777" w:rsidR="00010BD2" w:rsidRDefault="00B82DB6">
            <w:pPr>
              <w:pStyle w:val="ListParagraph"/>
              <w:numPr>
                <w:ilvl w:val="0"/>
                <w:numId w:val="7"/>
              </w:numPr>
              <w:jc w:val="both"/>
              <w:rPr>
                <w:lang w:val="en-US"/>
              </w:rPr>
            </w:pPr>
            <w:r>
              <w:rPr>
                <w:lang w:val="en-US"/>
              </w:rPr>
              <w:t>Verifies Implementations’ security, e.g., absence of malware.</w:t>
            </w:r>
          </w:p>
          <w:p w14:paraId="5CB7516C" w14:textId="77777777" w:rsidR="00010BD2" w:rsidRDefault="00B82DB6">
            <w:pPr>
              <w:pStyle w:val="ListParagraph"/>
              <w:numPr>
                <w:ilvl w:val="0"/>
                <w:numId w:val="7"/>
              </w:numPr>
              <w:jc w:val="both"/>
              <w:rPr>
                <w:lang w:val="en-US"/>
              </w:rPr>
            </w:pPr>
            <w:r>
              <w:rPr>
                <w:lang w:val="en-US"/>
              </w:rPr>
              <w:t>Indicates unambiguously that Implementations are Level 1.</w:t>
            </w:r>
          </w:p>
        </w:tc>
      </w:tr>
    </w:tbl>
    <w:p w14:paraId="5CB7516E" w14:textId="77777777" w:rsidR="00010BD2" w:rsidRDefault="00010BD2">
      <w:pPr>
        <w:jc w:val="both"/>
      </w:pPr>
      <w:bookmarkStart w:id="41" w:name="_Toc80217734"/>
      <w:bookmarkEnd w:id="41"/>
    </w:p>
    <w:p w14:paraId="5CB7516F" w14:textId="77777777" w:rsidR="00010BD2" w:rsidRDefault="00B82DB6">
      <w:pPr>
        <w:jc w:val="both"/>
        <w:rPr>
          <w:b/>
          <w:bCs/>
        </w:rPr>
      </w:pPr>
      <w:r>
        <w:rPr>
          <w:b/>
          <w:bCs/>
        </w:rPr>
        <w:t>Level 2 Interoperability</w:t>
      </w:r>
    </w:p>
    <w:p w14:paraId="5CB75170" w14:textId="77777777" w:rsidR="00010BD2" w:rsidRDefault="00B82DB6">
      <w:pPr>
        <w:jc w:val="both"/>
        <w:rPr>
          <w:lang w:val="en-US"/>
        </w:rPr>
      </w:pPr>
      <w:r>
        <w:rPr>
          <w:lang w:val="en-US"/>
        </w:rPr>
        <w:t>In a Level 2 Implem</w:t>
      </w:r>
      <w:r>
        <w:rPr>
          <w:lang w:val="en-US"/>
        </w:rPr>
        <w:softHyphen/>
        <w:t xml:space="preserve">entation, the AIW must be an Implementation of an MPAI Use </w:t>
      </w:r>
      <w:proofErr w:type="gramStart"/>
      <w:r>
        <w:rPr>
          <w:lang w:val="en-US"/>
        </w:rPr>
        <w:t>Case</w:t>
      </w:r>
      <w:proofErr w:type="gramEnd"/>
      <w:r>
        <w:rPr>
          <w:lang w:val="en-US"/>
        </w:rPr>
        <w:t xml:space="preserve"> and the AIMs must con</w:t>
      </w:r>
      <w:r>
        <w:rPr>
          <w:lang w:val="en-US"/>
        </w:rPr>
        <w:softHyphen/>
        <w:t>form with an MPAI Applicati</w:t>
      </w:r>
      <w:r>
        <w:rPr>
          <w:lang w:val="en-US"/>
        </w:rPr>
        <w:softHyphen/>
        <w:t xml:space="preserve">on Standard. </w:t>
      </w:r>
    </w:p>
    <w:p w14:paraId="5CB75171" w14:textId="77777777" w:rsidR="00010BD2" w:rsidRDefault="00010BD2">
      <w:pPr>
        <w:jc w:val="both"/>
        <w:rPr>
          <w:lang w:val="en-US"/>
        </w:rPr>
      </w:pPr>
    </w:p>
    <w:tbl>
      <w:tblPr>
        <w:tblStyle w:val="TableGrid"/>
        <w:tblW w:w="9355" w:type="dxa"/>
        <w:tblLayout w:type="fixed"/>
        <w:tblLook w:val="04A0" w:firstRow="1" w:lastRow="0" w:firstColumn="1" w:lastColumn="0" w:noHBand="0" w:noVBand="1"/>
      </w:tblPr>
      <w:tblGrid>
        <w:gridCol w:w="1615"/>
        <w:gridCol w:w="7740"/>
      </w:tblGrid>
      <w:tr w:rsidR="00010BD2" w14:paraId="5CB75176" w14:textId="77777777">
        <w:tc>
          <w:tcPr>
            <w:tcW w:w="1615" w:type="dxa"/>
            <w:tcBorders>
              <w:top w:val="nil"/>
              <w:left w:val="nil"/>
              <w:bottom w:val="nil"/>
              <w:right w:val="nil"/>
            </w:tcBorders>
          </w:tcPr>
          <w:p w14:paraId="5CB75172" w14:textId="77777777" w:rsidR="00010BD2" w:rsidRDefault="00B82DB6">
            <w:pPr>
              <w:jc w:val="both"/>
              <w:rPr>
                <w:lang w:val="en-US"/>
              </w:rPr>
            </w:pPr>
            <w:r>
              <w:rPr>
                <w:lang w:val="en-US"/>
              </w:rPr>
              <w:t>Implementers’ benefits</w:t>
            </w:r>
          </w:p>
        </w:tc>
        <w:tc>
          <w:tcPr>
            <w:tcW w:w="7739" w:type="dxa"/>
            <w:tcBorders>
              <w:top w:val="nil"/>
              <w:left w:val="nil"/>
              <w:bottom w:val="nil"/>
              <w:right w:val="nil"/>
            </w:tcBorders>
          </w:tcPr>
          <w:p w14:paraId="5CB75173" w14:textId="77777777" w:rsidR="00010BD2" w:rsidRDefault="00B82DB6">
            <w:pPr>
              <w:jc w:val="both"/>
              <w:rPr>
                <w:lang w:val="en-US"/>
              </w:rPr>
            </w:pPr>
            <w:r>
              <w:rPr>
                <w:lang w:val="en-US"/>
              </w:rPr>
              <w:t>Upload to the MPAI Store and have globally distributed Implementations of</w:t>
            </w:r>
          </w:p>
          <w:p w14:paraId="5CB75174" w14:textId="77777777" w:rsidR="00010BD2" w:rsidRDefault="00B82DB6">
            <w:pPr>
              <w:pStyle w:val="ListParagraph"/>
              <w:numPr>
                <w:ilvl w:val="0"/>
                <w:numId w:val="7"/>
              </w:numPr>
              <w:jc w:val="both"/>
              <w:rPr>
                <w:lang w:val="en-US"/>
              </w:rPr>
            </w:pPr>
            <w:r>
              <w:rPr>
                <w:lang w:val="en-US"/>
              </w:rPr>
              <w:t>AIFs conforming to MPAI-AIF.</w:t>
            </w:r>
          </w:p>
          <w:p w14:paraId="5CB75175" w14:textId="77777777" w:rsidR="00010BD2" w:rsidRDefault="00B82DB6">
            <w:pPr>
              <w:pStyle w:val="ListParagraph"/>
              <w:numPr>
                <w:ilvl w:val="0"/>
                <w:numId w:val="7"/>
              </w:numPr>
              <w:jc w:val="both"/>
              <w:rPr>
                <w:lang w:val="en-US"/>
              </w:rPr>
            </w:pPr>
            <w:r>
              <w:rPr>
                <w:lang w:val="en-US"/>
              </w:rPr>
              <w:t>AIWs and AIMs conforming to MPAI Application Standards.</w:t>
            </w:r>
          </w:p>
        </w:tc>
      </w:tr>
      <w:tr w:rsidR="00010BD2" w14:paraId="5CB7517A" w14:textId="77777777">
        <w:tc>
          <w:tcPr>
            <w:tcW w:w="1615" w:type="dxa"/>
            <w:tcBorders>
              <w:top w:val="nil"/>
              <w:left w:val="nil"/>
              <w:bottom w:val="nil"/>
              <w:right w:val="nil"/>
            </w:tcBorders>
          </w:tcPr>
          <w:p w14:paraId="5CB75177" w14:textId="77777777" w:rsidR="00010BD2" w:rsidRDefault="00B82DB6">
            <w:pPr>
              <w:jc w:val="both"/>
              <w:rPr>
                <w:lang w:val="en-US"/>
              </w:rPr>
            </w:pPr>
            <w:r>
              <w:rPr>
                <w:lang w:val="en-US"/>
              </w:rPr>
              <w:t>Users’ benefits</w:t>
            </w:r>
          </w:p>
        </w:tc>
        <w:tc>
          <w:tcPr>
            <w:tcW w:w="7739" w:type="dxa"/>
            <w:tcBorders>
              <w:top w:val="nil"/>
              <w:left w:val="nil"/>
              <w:bottom w:val="nil"/>
              <w:right w:val="nil"/>
            </w:tcBorders>
          </w:tcPr>
          <w:p w14:paraId="5CB75178" w14:textId="77777777" w:rsidR="00010BD2" w:rsidRDefault="00B82DB6">
            <w:pPr>
              <w:pStyle w:val="ListParagraph"/>
              <w:numPr>
                <w:ilvl w:val="0"/>
                <w:numId w:val="7"/>
              </w:numPr>
              <w:jc w:val="both"/>
              <w:rPr>
                <w:lang w:val="en-US"/>
              </w:rPr>
            </w:pPr>
            <w:r>
              <w:rPr>
                <w:lang w:val="en-US"/>
              </w:rPr>
              <w:t xml:space="preserve">Rely on Implementations of AIWs and AIMs whose Functions have been reviewed during </w:t>
            </w:r>
            <w:proofErr w:type="spellStart"/>
            <w:r>
              <w:rPr>
                <w:lang w:val="en-US"/>
              </w:rPr>
              <w:t>standardisation</w:t>
            </w:r>
            <w:proofErr w:type="spellEnd"/>
            <w:r>
              <w:rPr>
                <w:lang w:val="en-US"/>
              </w:rPr>
              <w:t xml:space="preserve">. </w:t>
            </w:r>
          </w:p>
          <w:p w14:paraId="5CB75179" w14:textId="77777777" w:rsidR="00010BD2" w:rsidRDefault="00B82DB6">
            <w:pPr>
              <w:pStyle w:val="ListParagraph"/>
              <w:numPr>
                <w:ilvl w:val="0"/>
                <w:numId w:val="7"/>
              </w:numPr>
              <w:jc w:val="both"/>
              <w:rPr>
                <w:lang w:val="en-US"/>
              </w:rPr>
            </w:pPr>
            <w:r>
              <w:rPr>
                <w:lang w:val="en-US"/>
              </w:rPr>
              <w:t xml:space="preserve">Have a degree of </w:t>
            </w:r>
            <w:proofErr w:type="spellStart"/>
            <w:r>
              <w:rPr>
                <w:lang w:val="en-US"/>
              </w:rPr>
              <w:t>Explainability</w:t>
            </w:r>
            <w:proofErr w:type="spellEnd"/>
            <w:r>
              <w:rPr>
                <w:lang w:val="en-US"/>
              </w:rPr>
              <w:t xml:space="preserve"> of the AIW operation because the AIM Func</w:t>
            </w:r>
            <w:r>
              <w:rPr>
                <w:lang w:val="en-US"/>
              </w:rPr>
              <w:softHyphen/>
              <w:t xml:space="preserve">tions and the </w:t>
            </w:r>
            <w:proofErr w:type="gramStart"/>
            <w:r>
              <w:rPr>
                <w:lang w:val="en-US"/>
              </w:rPr>
              <w:t>data  Formats</w:t>
            </w:r>
            <w:proofErr w:type="gramEnd"/>
            <w:r>
              <w:rPr>
                <w:lang w:val="en-US"/>
              </w:rPr>
              <w:t xml:space="preserve"> are known. </w:t>
            </w:r>
          </w:p>
        </w:tc>
      </w:tr>
      <w:tr w:rsidR="00010BD2" w14:paraId="5CB7517E" w14:textId="77777777">
        <w:tc>
          <w:tcPr>
            <w:tcW w:w="1615" w:type="dxa"/>
            <w:tcBorders>
              <w:top w:val="nil"/>
              <w:left w:val="nil"/>
              <w:bottom w:val="nil"/>
              <w:right w:val="nil"/>
            </w:tcBorders>
          </w:tcPr>
          <w:p w14:paraId="5CB7517B" w14:textId="77777777" w:rsidR="00010BD2" w:rsidRDefault="00B82DB6">
            <w:pPr>
              <w:jc w:val="both"/>
              <w:rPr>
                <w:lang w:val="en-US"/>
              </w:rPr>
            </w:pPr>
            <w:r>
              <w:rPr>
                <w:lang w:val="en-US"/>
              </w:rPr>
              <w:t>Market’s benefits</w:t>
            </w:r>
          </w:p>
        </w:tc>
        <w:tc>
          <w:tcPr>
            <w:tcW w:w="7739" w:type="dxa"/>
            <w:tcBorders>
              <w:top w:val="nil"/>
              <w:left w:val="nil"/>
              <w:bottom w:val="nil"/>
              <w:right w:val="nil"/>
            </w:tcBorders>
          </w:tcPr>
          <w:p w14:paraId="5CB7517C" w14:textId="77777777" w:rsidR="00010BD2" w:rsidRDefault="00B82DB6">
            <w:pPr>
              <w:pStyle w:val="ListParagraph"/>
              <w:numPr>
                <w:ilvl w:val="0"/>
                <w:numId w:val="7"/>
              </w:numPr>
              <w:jc w:val="both"/>
              <w:rPr>
                <w:lang w:val="en-US"/>
              </w:rPr>
            </w:pPr>
            <w:r>
              <w:rPr>
                <w:lang w:val="en-US"/>
              </w:rPr>
              <w:t xml:space="preserve">Open AIW and AIM markets foster competition leading to better products. </w:t>
            </w:r>
          </w:p>
          <w:p w14:paraId="5CB7517D" w14:textId="77777777" w:rsidR="00010BD2" w:rsidRDefault="00B82DB6">
            <w:pPr>
              <w:pStyle w:val="ListParagraph"/>
              <w:numPr>
                <w:ilvl w:val="0"/>
                <w:numId w:val="7"/>
              </w:numPr>
              <w:jc w:val="both"/>
              <w:rPr>
                <w:lang w:val="en-US"/>
              </w:rPr>
            </w:pPr>
            <w:r>
              <w:rPr>
                <w:lang w:val="en-US"/>
              </w:rPr>
              <w:t>Competition of AIW and AIM Implementations fosters AI innovation.</w:t>
            </w:r>
          </w:p>
        </w:tc>
      </w:tr>
      <w:tr w:rsidR="00010BD2" w14:paraId="5CB75183" w14:textId="77777777">
        <w:tc>
          <w:tcPr>
            <w:tcW w:w="1615" w:type="dxa"/>
            <w:tcBorders>
              <w:top w:val="nil"/>
              <w:left w:val="nil"/>
              <w:bottom w:val="nil"/>
              <w:right w:val="nil"/>
            </w:tcBorders>
          </w:tcPr>
          <w:p w14:paraId="5CB7517F" w14:textId="77777777" w:rsidR="00010BD2" w:rsidRDefault="00B82DB6">
            <w:pPr>
              <w:jc w:val="both"/>
              <w:rPr>
                <w:lang w:val="en-US"/>
              </w:rPr>
            </w:pPr>
            <w:r>
              <w:rPr>
                <w:lang w:val="en-US"/>
              </w:rPr>
              <w:t>MPAI Store’s role</w:t>
            </w:r>
          </w:p>
        </w:tc>
        <w:tc>
          <w:tcPr>
            <w:tcW w:w="7739" w:type="dxa"/>
            <w:tcBorders>
              <w:top w:val="nil"/>
              <w:left w:val="nil"/>
              <w:bottom w:val="nil"/>
              <w:right w:val="nil"/>
            </w:tcBorders>
          </w:tcPr>
          <w:p w14:paraId="5CB75180" w14:textId="77777777" w:rsidR="00010BD2" w:rsidRDefault="00B82DB6">
            <w:pPr>
              <w:pStyle w:val="ListParagraph"/>
              <w:numPr>
                <w:ilvl w:val="0"/>
                <w:numId w:val="7"/>
              </w:numPr>
              <w:jc w:val="both"/>
              <w:rPr>
                <w:lang w:val="en-US"/>
              </w:rPr>
            </w:pPr>
            <w:r>
              <w:rPr>
                <w:lang w:val="en-US"/>
              </w:rPr>
              <w:t>Tests Conformance of Implementations with the relevant MPAI Standard.</w:t>
            </w:r>
          </w:p>
          <w:p w14:paraId="5CB75181" w14:textId="77777777" w:rsidR="00010BD2" w:rsidRDefault="00B82DB6">
            <w:pPr>
              <w:pStyle w:val="ListParagraph"/>
              <w:numPr>
                <w:ilvl w:val="0"/>
                <w:numId w:val="7"/>
              </w:numPr>
              <w:jc w:val="both"/>
              <w:rPr>
                <w:lang w:val="en-US"/>
              </w:rPr>
            </w:pPr>
            <w:r>
              <w:rPr>
                <w:lang w:val="en-US"/>
              </w:rPr>
              <w:t>Verifies Implementations’ security.</w:t>
            </w:r>
          </w:p>
          <w:p w14:paraId="5CB75182" w14:textId="77777777" w:rsidR="00010BD2" w:rsidRDefault="00B82DB6">
            <w:pPr>
              <w:pStyle w:val="ListParagraph"/>
              <w:numPr>
                <w:ilvl w:val="0"/>
                <w:numId w:val="7"/>
              </w:numPr>
              <w:jc w:val="both"/>
              <w:rPr>
                <w:lang w:val="en-US"/>
              </w:rPr>
            </w:pPr>
            <w:r>
              <w:rPr>
                <w:lang w:val="en-US"/>
              </w:rPr>
              <w:t>Indicates unambiguously that Implementations are Level 2.</w:t>
            </w:r>
          </w:p>
        </w:tc>
      </w:tr>
    </w:tbl>
    <w:p w14:paraId="5CB75184" w14:textId="77777777" w:rsidR="00010BD2" w:rsidRDefault="00010BD2">
      <w:pPr>
        <w:jc w:val="both"/>
        <w:rPr>
          <w:lang w:val="en-US"/>
        </w:rPr>
      </w:pPr>
    </w:p>
    <w:p w14:paraId="5CB75185" w14:textId="77777777" w:rsidR="00010BD2" w:rsidRDefault="00B82DB6">
      <w:pPr>
        <w:jc w:val="both"/>
        <w:rPr>
          <w:b/>
          <w:bCs/>
        </w:rPr>
      </w:pPr>
      <w:r>
        <w:rPr>
          <w:b/>
          <w:bCs/>
        </w:rPr>
        <w:t>Level 3 Interoperability</w:t>
      </w:r>
    </w:p>
    <w:p w14:paraId="5CB75186" w14:textId="77777777" w:rsidR="00010BD2" w:rsidRDefault="00B82DB6">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 of higher “quality”.</w:t>
      </w:r>
    </w:p>
    <w:p w14:paraId="5CB75187" w14:textId="77777777" w:rsidR="00010BD2" w:rsidRDefault="00B82DB6">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5CB75188" w14:textId="77777777" w:rsidR="00010BD2" w:rsidRDefault="00010BD2">
      <w:pPr>
        <w:jc w:val="both"/>
        <w:rPr>
          <w:lang w:val="en-US"/>
        </w:rPr>
      </w:pPr>
    </w:p>
    <w:tbl>
      <w:tblPr>
        <w:tblStyle w:val="TableGrid"/>
        <w:tblW w:w="9355" w:type="dxa"/>
        <w:tblInd w:w="-5" w:type="dxa"/>
        <w:tblLayout w:type="fixed"/>
        <w:tblLook w:val="04A0" w:firstRow="1" w:lastRow="0" w:firstColumn="1" w:lastColumn="0" w:noHBand="0" w:noVBand="1"/>
      </w:tblPr>
      <w:tblGrid>
        <w:gridCol w:w="1615"/>
        <w:gridCol w:w="7740"/>
      </w:tblGrid>
      <w:tr w:rsidR="00010BD2" w14:paraId="5CB7518B" w14:textId="77777777">
        <w:tc>
          <w:tcPr>
            <w:tcW w:w="1615" w:type="dxa"/>
            <w:tcBorders>
              <w:top w:val="nil"/>
              <w:left w:val="nil"/>
              <w:bottom w:val="nil"/>
              <w:right w:val="nil"/>
            </w:tcBorders>
          </w:tcPr>
          <w:p w14:paraId="5CB75189" w14:textId="77777777" w:rsidR="00010BD2" w:rsidRDefault="00B82DB6">
            <w:pPr>
              <w:jc w:val="both"/>
              <w:rPr>
                <w:lang w:val="en-US"/>
              </w:rPr>
            </w:pPr>
            <w:r>
              <w:rPr>
                <w:lang w:val="en-US"/>
              </w:rPr>
              <w:t>Implementers’ benefits</w:t>
            </w:r>
          </w:p>
        </w:tc>
        <w:tc>
          <w:tcPr>
            <w:tcW w:w="7739" w:type="dxa"/>
            <w:tcBorders>
              <w:top w:val="nil"/>
              <w:left w:val="nil"/>
              <w:bottom w:val="nil"/>
              <w:right w:val="nil"/>
            </w:tcBorders>
          </w:tcPr>
          <w:p w14:paraId="5CB7518A" w14:textId="77777777" w:rsidR="00010BD2" w:rsidRDefault="00B82DB6">
            <w:pPr>
              <w:jc w:val="both"/>
              <w:rPr>
                <w:lang w:val="en-US"/>
              </w:rPr>
            </w:pPr>
            <w:r>
              <w:rPr>
                <w:lang w:val="en-US"/>
              </w:rPr>
              <w:t>May claim their Implementations have passed Performance Assessment.</w:t>
            </w:r>
          </w:p>
        </w:tc>
      </w:tr>
      <w:tr w:rsidR="00010BD2" w14:paraId="5CB7518E" w14:textId="77777777">
        <w:tc>
          <w:tcPr>
            <w:tcW w:w="1615" w:type="dxa"/>
            <w:tcBorders>
              <w:top w:val="nil"/>
              <w:left w:val="nil"/>
              <w:bottom w:val="nil"/>
              <w:right w:val="nil"/>
            </w:tcBorders>
          </w:tcPr>
          <w:p w14:paraId="5CB7518C" w14:textId="77777777" w:rsidR="00010BD2" w:rsidRDefault="00B82DB6">
            <w:pPr>
              <w:jc w:val="both"/>
              <w:rPr>
                <w:lang w:val="en-US"/>
              </w:rPr>
            </w:pPr>
            <w:r>
              <w:rPr>
                <w:lang w:val="en-US"/>
              </w:rPr>
              <w:t>Users’ benefits</w:t>
            </w:r>
          </w:p>
        </w:tc>
        <w:tc>
          <w:tcPr>
            <w:tcW w:w="7739" w:type="dxa"/>
            <w:tcBorders>
              <w:top w:val="nil"/>
              <w:left w:val="nil"/>
              <w:bottom w:val="nil"/>
              <w:right w:val="nil"/>
            </w:tcBorders>
          </w:tcPr>
          <w:p w14:paraId="5CB7518D" w14:textId="77777777" w:rsidR="00010BD2" w:rsidRDefault="00B82DB6">
            <w:pPr>
              <w:jc w:val="both"/>
              <w:rPr>
                <w:lang w:val="en-US"/>
              </w:rPr>
            </w:pPr>
            <w:r>
              <w:rPr>
                <w:lang w:val="en-US"/>
              </w:rPr>
              <w:t>Get assurance that the Implementation being used performs correctly, e.g., it has been properly trained.</w:t>
            </w:r>
          </w:p>
        </w:tc>
      </w:tr>
      <w:tr w:rsidR="00010BD2" w14:paraId="5CB75191" w14:textId="77777777">
        <w:tc>
          <w:tcPr>
            <w:tcW w:w="1615" w:type="dxa"/>
            <w:tcBorders>
              <w:top w:val="nil"/>
              <w:left w:val="nil"/>
              <w:bottom w:val="nil"/>
              <w:right w:val="nil"/>
            </w:tcBorders>
          </w:tcPr>
          <w:p w14:paraId="5CB7518F" w14:textId="77777777" w:rsidR="00010BD2" w:rsidRDefault="00B82DB6">
            <w:pPr>
              <w:jc w:val="both"/>
              <w:rPr>
                <w:lang w:val="en-US"/>
              </w:rPr>
            </w:pPr>
            <w:r>
              <w:rPr>
                <w:lang w:val="en-US"/>
              </w:rPr>
              <w:lastRenderedPageBreak/>
              <w:t>Market’s benefits</w:t>
            </w:r>
          </w:p>
        </w:tc>
        <w:tc>
          <w:tcPr>
            <w:tcW w:w="7739" w:type="dxa"/>
            <w:tcBorders>
              <w:top w:val="nil"/>
              <w:left w:val="nil"/>
              <w:bottom w:val="nil"/>
              <w:right w:val="nil"/>
            </w:tcBorders>
          </w:tcPr>
          <w:p w14:paraId="5CB75190" w14:textId="77777777" w:rsidR="00010BD2" w:rsidRDefault="00B82DB6">
            <w:pPr>
              <w:jc w:val="both"/>
              <w:rPr>
                <w:lang w:val="en-US"/>
              </w:rPr>
            </w:pPr>
            <w:r>
              <w:rPr>
                <w:lang w:val="en-US"/>
              </w:rPr>
              <w:t>Implementations’ Performance Grades stimulate the development of more Performing AIM and AIW Implementations.</w:t>
            </w:r>
          </w:p>
        </w:tc>
      </w:tr>
      <w:tr w:rsidR="00010BD2" w14:paraId="5CB75195" w14:textId="77777777">
        <w:tc>
          <w:tcPr>
            <w:tcW w:w="1615" w:type="dxa"/>
            <w:tcBorders>
              <w:top w:val="nil"/>
              <w:left w:val="nil"/>
              <w:bottom w:val="nil"/>
              <w:right w:val="nil"/>
            </w:tcBorders>
          </w:tcPr>
          <w:p w14:paraId="5CB75192" w14:textId="77777777" w:rsidR="00010BD2" w:rsidRDefault="00B82DB6">
            <w:pPr>
              <w:jc w:val="both"/>
              <w:rPr>
                <w:lang w:val="en-US"/>
              </w:rPr>
            </w:pPr>
            <w:r>
              <w:rPr>
                <w:lang w:val="en-US"/>
              </w:rPr>
              <w:t>MPAI Store’s role</w:t>
            </w:r>
          </w:p>
        </w:tc>
        <w:tc>
          <w:tcPr>
            <w:tcW w:w="7739" w:type="dxa"/>
            <w:tcBorders>
              <w:top w:val="nil"/>
              <w:left w:val="nil"/>
              <w:bottom w:val="nil"/>
              <w:right w:val="nil"/>
            </w:tcBorders>
          </w:tcPr>
          <w:p w14:paraId="5CB75193" w14:textId="77777777" w:rsidR="00010BD2" w:rsidRDefault="00B82DB6">
            <w:pPr>
              <w:pStyle w:val="ListParagraph"/>
              <w:numPr>
                <w:ilvl w:val="0"/>
                <w:numId w:val="7"/>
              </w:numPr>
              <w:jc w:val="both"/>
              <w:rPr>
                <w:lang w:val="en-US"/>
              </w:rPr>
            </w:pPr>
            <w:r>
              <w:rPr>
                <w:lang w:val="en-US"/>
              </w:rPr>
              <w:t xml:space="preserve">Verifies the Implementations’ security </w:t>
            </w:r>
          </w:p>
          <w:p w14:paraId="5CB75194" w14:textId="77777777" w:rsidR="00010BD2" w:rsidRDefault="00B82DB6">
            <w:pPr>
              <w:pStyle w:val="ListParagraph"/>
              <w:numPr>
                <w:ilvl w:val="0"/>
                <w:numId w:val="7"/>
              </w:numPr>
              <w:jc w:val="both"/>
              <w:rPr>
                <w:lang w:val="en-US"/>
              </w:rPr>
            </w:pPr>
            <w:r>
              <w:rPr>
                <w:lang w:val="en-US"/>
              </w:rPr>
              <w:t>Indicates unambiguously that Implementations are Level 3.</w:t>
            </w:r>
          </w:p>
        </w:tc>
      </w:tr>
    </w:tbl>
    <w:p w14:paraId="5CB75196" w14:textId="77777777" w:rsidR="00010BD2" w:rsidRDefault="00010BD2">
      <w:pPr>
        <w:jc w:val="both"/>
        <w:rPr>
          <w:lang w:val="en-US"/>
        </w:rPr>
      </w:pPr>
    </w:p>
    <w:p w14:paraId="5CB75197" w14:textId="77777777" w:rsidR="00010BD2" w:rsidRDefault="00B82DB6">
      <w:pPr>
        <w:jc w:val="both"/>
        <w:rPr>
          <w:b/>
          <w:bCs/>
        </w:rPr>
      </w:pPr>
      <w:r>
        <w:rPr>
          <w:b/>
          <w:bCs/>
        </w:rPr>
        <w:t>The MPAI ecosystem</w:t>
      </w:r>
    </w:p>
    <w:p w14:paraId="5CB75198" w14:textId="77777777" w:rsidR="00010BD2" w:rsidRDefault="00B82DB6">
      <w:pPr>
        <w:jc w:val="both"/>
        <w:rPr>
          <w:i/>
          <w:lang w:val="en-US"/>
        </w:rPr>
      </w:pPr>
      <w:r>
        <w:rPr>
          <w:lang w:val="en-US"/>
        </w:rPr>
        <w:t xml:space="preserve">The following </w:t>
      </w:r>
      <w:r>
        <w:rPr>
          <w:noProof/>
        </w:rPr>
        <w:drawing>
          <wp:inline distT="0" distB="0" distL="0" distR="0" wp14:anchorId="5CB751AD" wp14:editId="5CB751AE">
            <wp:extent cx="5937885" cy="26346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4"/>
                    <a:stretch>
                      <a:fillRect/>
                    </a:stretch>
                  </pic:blipFill>
                  <pic:spPr bwMode="auto">
                    <a:xfrm>
                      <a:off x="0" y="0"/>
                      <a:ext cx="5937885" cy="2634615"/>
                    </a:xfrm>
                    <a:prstGeom prst="rect">
                      <a:avLst/>
                    </a:prstGeom>
                  </pic:spPr>
                </pic:pic>
              </a:graphicData>
            </a:graphic>
          </wp:inline>
        </w:drawing>
      </w:r>
    </w:p>
    <w:p w14:paraId="5CB75199" w14:textId="77777777" w:rsidR="00010BD2" w:rsidRDefault="00B82DB6">
      <w:pPr>
        <w:jc w:val="both"/>
        <w:rPr>
          <w:lang w:val="en-US"/>
        </w:rPr>
      </w:pPr>
      <w:r>
        <w:rPr>
          <w:lang w:val="en-US"/>
        </w:rPr>
        <w:fldChar w:fldCharType="begin"/>
      </w:r>
      <w:r>
        <w:rPr>
          <w:lang w:val="en-US"/>
        </w:rPr>
        <w:instrText>REF _Ref78043363 \h</w:instrText>
      </w:r>
      <w:r>
        <w:rPr>
          <w:lang w:val="en-US"/>
        </w:rPr>
      </w:r>
      <w:r w:rsidR="0019539A">
        <w:rPr>
          <w:lang w:val="en-US"/>
        </w:rPr>
        <w:fldChar w:fldCharType="separate"/>
      </w:r>
      <w:r>
        <w:rPr>
          <w:lang w:val="en-US"/>
        </w:rPr>
        <w:fldChar w:fldCharType="end"/>
      </w:r>
      <w:r>
        <w:rPr>
          <w:lang w:val="en-US"/>
        </w:rPr>
        <w:t xml:space="preserve"> is a high-level description of the MPAI ecosystem operation applicable to fully conforming MPAI implementations: </w:t>
      </w:r>
    </w:p>
    <w:p w14:paraId="5CB7519A" w14:textId="77777777" w:rsidR="00010BD2" w:rsidRDefault="00B82DB6">
      <w:pPr>
        <w:pStyle w:val="ListParagraph"/>
        <w:numPr>
          <w:ilvl w:val="0"/>
          <w:numId w:val="3"/>
        </w:numPr>
        <w:jc w:val="both"/>
        <w:rPr>
          <w:lang w:val="en-US"/>
        </w:rPr>
      </w:pPr>
      <w:r>
        <w:rPr>
          <w:lang w:val="en-US"/>
        </w:rPr>
        <w:t>MPAI establishes and controls the not-for-profit MPAI Store.</w:t>
      </w:r>
    </w:p>
    <w:p w14:paraId="5CB7519B" w14:textId="77777777" w:rsidR="00010BD2" w:rsidRDefault="00B82DB6">
      <w:pPr>
        <w:pStyle w:val="ListParagraph"/>
        <w:numPr>
          <w:ilvl w:val="0"/>
          <w:numId w:val="3"/>
        </w:numPr>
        <w:jc w:val="both"/>
        <w:rPr>
          <w:lang w:val="en-US"/>
        </w:rPr>
      </w:pPr>
      <w:r>
        <w:rPr>
          <w:lang w:val="en-US"/>
        </w:rPr>
        <w:t>MPAI appoints Performance Assessors.</w:t>
      </w:r>
    </w:p>
    <w:p w14:paraId="5CB7519C" w14:textId="77777777" w:rsidR="00010BD2" w:rsidRDefault="00B82DB6">
      <w:pPr>
        <w:pStyle w:val="ListParagraph"/>
        <w:numPr>
          <w:ilvl w:val="0"/>
          <w:numId w:val="3"/>
        </w:numPr>
        <w:jc w:val="both"/>
        <w:rPr>
          <w:lang w:val="en-US"/>
        </w:rPr>
      </w:pPr>
      <w:r>
        <w:rPr>
          <w:lang w:val="en-US"/>
        </w:rPr>
        <w:t>MPAI publishes Standards.</w:t>
      </w:r>
    </w:p>
    <w:p w14:paraId="5CB7519D" w14:textId="77777777" w:rsidR="00010BD2" w:rsidRDefault="00B82DB6">
      <w:pPr>
        <w:pStyle w:val="ListParagraph"/>
        <w:numPr>
          <w:ilvl w:val="0"/>
          <w:numId w:val="3"/>
        </w:numPr>
        <w:jc w:val="both"/>
        <w:rPr>
          <w:lang w:val="en-US"/>
        </w:rPr>
      </w:pPr>
      <w:r>
        <w:rPr>
          <w:lang w:val="en-US"/>
        </w:rPr>
        <w:t>Implementers submit Implementations to Performance Assessors.</w:t>
      </w:r>
    </w:p>
    <w:p w14:paraId="5CB7519E" w14:textId="77777777" w:rsidR="00010BD2" w:rsidRDefault="00B82DB6">
      <w:pPr>
        <w:pStyle w:val="ListParagraph"/>
        <w:numPr>
          <w:ilvl w:val="0"/>
          <w:numId w:val="3"/>
        </w:numPr>
        <w:jc w:val="both"/>
        <w:rPr>
          <w:lang w:val="en-US"/>
        </w:rPr>
      </w:pPr>
      <w:r>
        <w:rPr>
          <w:lang w:val="en-US"/>
        </w:rPr>
        <w:t>If the Implementation Performance is acceptable, Performance Assessors inform Implementers and the MPAI Store.</w:t>
      </w:r>
    </w:p>
    <w:p w14:paraId="5CB7519F" w14:textId="77777777" w:rsidR="00010BD2" w:rsidRDefault="00B82DB6">
      <w:pPr>
        <w:pStyle w:val="ListParagraph"/>
        <w:numPr>
          <w:ilvl w:val="0"/>
          <w:numId w:val="3"/>
        </w:numPr>
        <w:jc w:val="both"/>
        <w:rPr>
          <w:lang w:val="en-US"/>
        </w:rPr>
      </w:pPr>
      <w:r>
        <w:rPr>
          <w:lang w:val="en-US"/>
        </w:rPr>
        <w:t>Implementers submit Implementations to the MPAI Store tested for Confor</w:t>
      </w:r>
      <w:r>
        <w:rPr>
          <w:lang w:val="en-US"/>
        </w:rPr>
        <w:softHyphen/>
        <w:t>mance and security.</w:t>
      </w:r>
    </w:p>
    <w:p w14:paraId="5CB751A0" w14:textId="77777777" w:rsidR="00010BD2" w:rsidRDefault="00B82DB6">
      <w:pPr>
        <w:pStyle w:val="ListParagraph"/>
        <w:numPr>
          <w:ilvl w:val="0"/>
          <w:numId w:val="3"/>
        </w:numPr>
        <w:jc w:val="both"/>
        <w:rPr>
          <w:lang w:val="en-US"/>
        </w:rPr>
      </w:pPr>
      <w:r>
        <w:rPr>
          <w:lang w:val="en-US"/>
        </w:rPr>
        <w:t xml:space="preserve">Users download and use </w:t>
      </w:r>
      <w:proofErr w:type="gramStart"/>
      <w:r>
        <w:rPr>
          <w:lang w:val="en-US"/>
        </w:rPr>
        <w:t>Implementations, and</w:t>
      </w:r>
      <w:proofErr w:type="gramEnd"/>
      <w:r>
        <w:rPr>
          <w:lang w:val="en-US"/>
        </w:rPr>
        <w:t xml:space="preserve"> submit experience scores.</w:t>
      </w:r>
    </w:p>
    <w:p w14:paraId="5CB751A1" w14:textId="77777777" w:rsidR="00010BD2" w:rsidRDefault="00010BD2">
      <w:pPr>
        <w:jc w:val="both"/>
        <w:rPr>
          <w:lang w:val="en-US"/>
        </w:rPr>
      </w:pPr>
    </w:p>
    <w:p w14:paraId="5CB751A2" w14:textId="77777777" w:rsidR="00010BD2" w:rsidRDefault="00B82DB6">
      <w:pPr>
        <w:jc w:val="center"/>
        <w:rPr>
          <w:i/>
          <w:lang w:val="en-US"/>
        </w:rPr>
      </w:pPr>
      <w:bookmarkStart w:id="42" w:name="_Ref78043363"/>
      <w:r>
        <w:rPr>
          <w:noProof/>
        </w:rPr>
        <w:drawing>
          <wp:inline distT="0" distB="0" distL="0" distR="0" wp14:anchorId="5CB751AF" wp14:editId="5CB751B0">
            <wp:extent cx="5937885" cy="26346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4"/>
                    <a:stretch>
                      <a:fillRect/>
                    </a:stretch>
                  </pic:blipFill>
                  <pic:spPr bwMode="auto">
                    <a:xfrm>
                      <a:off x="0" y="0"/>
                      <a:ext cx="5937885" cy="2634615"/>
                    </a:xfrm>
                    <a:prstGeom prst="rect">
                      <a:avLst/>
                    </a:prstGeom>
                  </pic:spPr>
                </pic:pic>
              </a:graphicData>
            </a:graphic>
          </wp:inline>
        </w:drawing>
      </w:r>
    </w:p>
    <w:p w14:paraId="5CB751A3" w14:textId="77777777" w:rsidR="00010BD2" w:rsidRDefault="00B82DB6">
      <w:pPr>
        <w:jc w:val="center"/>
        <w:rPr>
          <w:i/>
          <w:lang w:val="en-US"/>
        </w:rPr>
      </w:pPr>
      <w:r>
        <w:rPr>
          <w:i/>
          <w:lang w:val="en-US"/>
        </w:rPr>
        <w:t xml:space="preserve">Figure </w:t>
      </w:r>
      <w:r>
        <w:rPr>
          <w:i/>
        </w:rPr>
        <w:fldChar w:fldCharType="begin"/>
      </w:r>
      <w:r>
        <w:rPr>
          <w:i/>
        </w:rPr>
        <w:instrText>SEQ Figure \* ARABIC</w:instrText>
      </w:r>
      <w:r>
        <w:rPr>
          <w:i/>
        </w:rPr>
        <w:fldChar w:fldCharType="separate"/>
      </w:r>
      <w:r>
        <w:rPr>
          <w:i/>
        </w:rPr>
        <w:t>3</w:t>
      </w:r>
      <w:r>
        <w:rPr>
          <w:i/>
        </w:rPr>
        <w:fldChar w:fldCharType="end"/>
      </w:r>
      <w:bookmarkEnd w:id="42"/>
      <w:r>
        <w:rPr>
          <w:i/>
          <w:lang w:val="en-US"/>
        </w:rPr>
        <w:t xml:space="preserve"> – The MPAI ecosystem operation</w:t>
      </w:r>
    </w:p>
    <w:p w14:paraId="5CB751A4" w14:textId="77777777" w:rsidR="00010BD2" w:rsidRDefault="00010BD2">
      <w:pPr>
        <w:rPr>
          <w:i/>
          <w:lang w:val="en-US"/>
        </w:rPr>
      </w:pPr>
    </w:p>
    <w:p w14:paraId="5CB751A5" w14:textId="77777777" w:rsidR="00010BD2" w:rsidRDefault="00010BD2">
      <w:pPr>
        <w:jc w:val="both"/>
        <w:rPr>
          <w:lang w:val="en-US"/>
        </w:rPr>
      </w:pPr>
      <w:bookmarkStart w:id="43" w:name="_Hlk83384987"/>
      <w:bookmarkEnd w:id="43"/>
    </w:p>
    <w:p w14:paraId="5CB751A6" w14:textId="77777777" w:rsidR="00010BD2" w:rsidRDefault="00010BD2">
      <w:pPr>
        <w:tabs>
          <w:tab w:val="left" w:pos="5299"/>
        </w:tabs>
      </w:pPr>
    </w:p>
    <w:sectPr w:rsidR="00010BD2">
      <w:pgSz w:w="11906" w:h="16838"/>
      <w:pgMar w:top="1418" w:right="1134" w:bottom="1418" w:left="1418"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Carlos Serrão" w:date="2022-05-06T13:40:00Z" w:initials="CS">
    <w:p w14:paraId="5CB751B1" w14:textId="77777777" w:rsidR="00010BD2" w:rsidRDefault="00B82DB6">
      <w:r>
        <w:rPr>
          <w:rFonts w:ascii="Liberation Serif" w:eastAsia="Segoe UI" w:hAnsi="Liberation Serif" w:cs="Tahoma"/>
          <w:lang w:val="en-US" w:eastAsia="en-US" w:bidi="en-US"/>
        </w:rPr>
        <w:t>Use the same paradigm such as the app stores for installing and validating apps on the devices.</w:t>
      </w:r>
    </w:p>
  </w:comment>
  <w:comment w:id="13" w:author="Carlos Serrão" w:date="2022-05-06T13:41:00Z" w:initials="CS">
    <w:p w14:paraId="5CB751B2" w14:textId="77777777" w:rsidR="00010BD2" w:rsidRDefault="00B82DB6">
      <w:r>
        <w:rPr>
          <w:rFonts w:ascii="Liberation Serif" w:eastAsia="Segoe UI" w:hAnsi="Liberation Serif" w:cs="Tahoma"/>
          <w:lang w:val="en-US" w:eastAsia="en-US" w:bidi="en-US"/>
        </w:rPr>
        <w:t>IMHO, it would be important to conduct threat modelling to know exactly which are the risks to which the solution is exposed, before starting proposing security services that might be insufficient, redundant or even insecure.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751B1" w15:done="0"/>
  <w15:commentEx w15:paraId="5CB751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0887" w16cex:dateUtc="2022-05-06T11:40:00Z"/>
  <w16cex:commentExtensible w16cex:durableId="262E0888" w16cex:dateUtc="2022-05-06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751B1" w16cid:durableId="262E0887"/>
  <w16cid:commentId w16cid:paraId="5CB751B2" w16cid:durableId="262E08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6D4"/>
    <w:multiLevelType w:val="multilevel"/>
    <w:tmpl w:val="2A50A8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C205E3"/>
    <w:multiLevelType w:val="multilevel"/>
    <w:tmpl w:val="F09E8F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354738"/>
    <w:multiLevelType w:val="multilevel"/>
    <w:tmpl w:val="F7CE42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E0A2D4E"/>
    <w:multiLevelType w:val="multilevel"/>
    <w:tmpl w:val="ADD2D2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0CC5AE2"/>
    <w:multiLevelType w:val="multilevel"/>
    <w:tmpl w:val="C464E0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CAC7E43"/>
    <w:multiLevelType w:val="multilevel"/>
    <w:tmpl w:val="6B925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481E5956"/>
    <w:multiLevelType w:val="multilevel"/>
    <w:tmpl w:val="24D2F1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506619AB"/>
    <w:multiLevelType w:val="multilevel"/>
    <w:tmpl w:val="EA7A08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5238626D"/>
    <w:multiLevelType w:val="multilevel"/>
    <w:tmpl w:val="7A906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577C6962"/>
    <w:multiLevelType w:val="multilevel"/>
    <w:tmpl w:val="4EB0361C"/>
    <w:lvl w:ilvl="0">
      <w:start w:val="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77890704"/>
    <w:multiLevelType w:val="multilevel"/>
    <w:tmpl w:val="87F8BC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EBF296E"/>
    <w:multiLevelType w:val="multilevel"/>
    <w:tmpl w:val="3B56B8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7F7D215D"/>
    <w:multiLevelType w:val="multilevel"/>
    <w:tmpl w:val="5652E2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458644615">
    <w:abstractNumId w:val="12"/>
  </w:num>
  <w:num w:numId="2" w16cid:durableId="1865970982">
    <w:abstractNumId w:val="5"/>
  </w:num>
  <w:num w:numId="3" w16cid:durableId="765925393">
    <w:abstractNumId w:val="2"/>
  </w:num>
  <w:num w:numId="4" w16cid:durableId="1759522720">
    <w:abstractNumId w:val="11"/>
  </w:num>
  <w:num w:numId="5" w16cid:durableId="1220894489">
    <w:abstractNumId w:val="1"/>
  </w:num>
  <w:num w:numId="6" w16cid:durableId="1198081042">
    <w:abstractNumId w:val="6"/>
  </w:num>
  <w:num w:numId="7" w16cid:durableId="1933587567">
    <w:abstractNumId w:val="9"/>
  </w:num>
  <w:num w:numId="8" w16cid:durableId="1982155207">
    <w:abstractNumId w:val="8"/>
  </w:num>
  <w:num w:numId="9" w16cid:durableId="655305371">
    <w:abstractNumId w:val="7"/>
  </w:num>
  <w:num w:numId="10" w16cid:durableId="1765878644">
    <w:abstractNumId w:val="0"/>
  </w:num>
  <w:num w:numId="11" w16cid:durableId="1161896145">
    <w:abstractNumId w:val="4"/>
  </w:num>
  <w:num w:numId="12" w16cid:durableId="854004705">
    <w:abstractNumId w:val="10"/>
  </w:num>
  <w:num w:numId="13" w16cid:durableId="21981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D2"/>
    <w:rsid w:val="00010BD2"/>
    <w:rsid w:val="000917E6"/>
    <w:rsid w:val="0019389C"/>
    <w:rsid w:val="0019539A"/>
    <w:rsid w:val="006D6144"/>
    <w:rsid w:val="00B82DB6"/>
    <w:rsid w:val="00E65E2B"/>
    <w:rsid w:val="00EB48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B74FD2"/>
  <w15:docId w15:val="{26B68832-22F3-4F44-8BDC-A7BB41F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pPr>
      <w:suppressAutoHyphens w:val="0"/>
    </w:pPr>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5EE0"/>
    <w:rPr>
      <w:color w:val="0000FF"/>
      <w:u w:val="single"/>
    </w:rPr>
  </w:style>
  <w:style w:type="character" w:customStyle="1" w:styleId="BalloonTextChar">
    <w:name w:val="Balloon Text Char"/>
    <w:link w:val="BalloonText"/>
    <w:qFormat/>
    <w:rsid w:val="00CC1CE8"/>
    <w:rPr>
      <w:rFonts w:ascii="Lucida Grande" w:eastAsia="SimSun" w:hAnsi="Lucida Grande"/>
      <w:sz w:val="18"/>
      <w:szCs w:val="18"/>
      <w:lang w:eastAsia="zh-CN"/>
    </w:rPr>
  </w:style>
  <w:style w:type="character" w:customStyle="1" w:styleId="DocumentMapChar">
    <w:name w:val="Document Map Char"/>
    <w:link w:val="DocumentMap"/>
    <w:qFormat/>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character" w:styleId="CommentReference">
    <w:name w:val="annotation reference"/>
    <w:qFormat/>
    <w:rsid w:val="00CC1CE8"/>
    <w:rPr>
      <w:sz w:val="16"/>
      <w:szCs w:val="16"/>
    </w:rPr>
  </w:style>
  <w:style w:type="character" w:customStyle="1" w:styleId="CommentTextChar">
    <w:name w:val="Comment Text Char"/>
    <w:link w:val="CommentText"/>
    <w:qFormat/>
    <w:rsid w:val="00CC1CE8"/>
    <w:rPr>
      <w:rFonts w:eastAsia="SimSun"/>
      <w:lang w:eastAsia="zh-CN"/>
    </w:rPr>
  </w:style>
  <w:style w:type="character" w:customStyle="1" w:styleId="CommentSubjectChar">
    <w:name w:val="Comment Subject Char"/>
    <w:link w:val="CommentSubject"/>
    <w:qFormat/>
    <w:rsid w:val="00CC1CE8"/>
    <w:rPr>
      <w:rFonts w:eastAsia="SimSun"/>
      <w:b/>
      <w:bCs/>
      <w:lang w:eastAsia="zh-CN"/>
    </w:rPr>
  </w:style>
  <w:style w:type="character" w:customStyle="1" w:styleId="Heading2Char">
    <w:name w:val="Heading 2 Char"/>
    <w:link w:val="Heading2"/>
    <w:qFormat/>
    <w:rsid w:val="00CC1CE8"/>
    <w:rPr>
      <w:rFonts w:eastAsia="SimSun"/>
      <w:b/>
      <w:bCs/>
      <w:iCs/>
      <w:sz w:val="26"/>
      <w:szCs w:val="28"/>
      <w:lang w:val="x-none" w:eastAsia="zh-CN"/>
    </w:rPr>
  </w:style>
  <w:style w:type="character" w:customStyle="1" w:styleId="SubtitleChar">
    <w:name w:val="Subtitle Char"/>
    <w:link w:val="Subtitle"/>
    <w:uiPriority w:val="11"/>
    <w:qFormat/>
    <w:rsid w:val="00865788"/>
    <w:rPr>
      <w:rFonts w:ascii="Cambria" w:eastAsia="Times New Roman" w:hAnsi="Cambria" w:cs="Times New Roman"/>
      <w:i/>
      <w:iCs/>
      <w:color w:val="4F81BD"/>
      <w:spacing w:val="15"/>
      <w:sz w:val="24"/>
      <w:szCs w:val="24"/>
      <w:lang w:val="en-GB"/>
    </w:rPr>
  </w:style>
  <w:style w:type="character" w:styleId="UnresolvedMention">
    <w:name w:val="Unresolved Mention"/>
    <w:basedOn w:val="DefaultParagraphFont"/>
    <w:uiPriority w:val="99"/>
    <w:semiHidden/>
    <w:unhideWhenUsed/>
    <w:qFormat/>
    <w:rsid w:val="00397D42"/>
    <w:rPr>
      <w:color w:val="605E5C"/>
      <w:shd w:val="clear" w:color="auto" w:fill="E1DFDD"/>
    </w:rPr>
  </w:style>
  <w:style w:type="character" w:customStyle="1" w:styleId="ListParagraphChar">
    <w:name w:val="List Paragraph Char"/>
    <w:basedOn w:val="DefaultParagraphFont"/>
    <w:link w:val="ListParagraph"/>
    <w:uiPriority w:val="34"/>
    <w:qFormat/>
    <w:locked/>
    <w:rsid w:val="000E07AB"/>
    <w:rPr>
      <w:rFonts w:eastAsia="Calibri"/>
      <w:sz w:val="24"/>
      <w:szCs w:val="22"/>
      <w:lang w:eastAsia="en-US"/>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nhideWhenUsed/>
    <w:qFormat/>
    <w:rsid w:val="004E143A"/>
    <w:pPr>
      <w:spacing w:after="200"/>
    </w:pPr>
    <w:rPr>
      <w:i/>
      <w:iCs/>
      <w:color w:val="44546A" w:themeColor="text2"/>
      <w:sz w:val="18"/>
      <w:szCs w:val="18"/>
    </w:rPr>
  </w:style>
  <w:style w:type="paragraph" w:customStyle="1" w:styleId="Index">
    <w:name w:val="Index"/>
    <w:basedOn w:val="Normal"/>
    <w:qFormat/>
    <w:pPr>
      <w:suppressLineNumbers/>
    </w:pPr>
    <w:rPr>
      <w:rFonts w:cs="Arial"/>
    </w:rPr>
  </w:style>
  <w:style w:type="paragraph" w:customStyle="1" w:styleId="a2">
    <w:name w:val="a2"/>
    <w:basedOn w:val="Heading2"/>
    <w:next w:val="Normal"/>
    <w:qFormat/>
    <w:rsid w:val="00AA7246"/>
    <w:pPr>
      <w:numPr>
        <w:ilvl w:val="0"/>
        <w:numId w:val="0"/>
      </w:numPr>
      <w:tabs>
        <w:tab w:val="left" w:pos="500"/>
        <w:tab w:val="left" w:pos="720"/>
      </w:tabs>
      <w:suppressAutoHyphens/>
      <w:spacing w:before="270" w:after="240" w:line="270" w:lineRule="exact"/>
      <w:outlineLvl w:val="9"/>
    </w:pPr>
    <w:rPr>
      <w:rFonts w:ascii="Arial" w:eastAsia="MS Mincho" w:hAnsi="Arial"/>
      <w:iCs w:val="0"/>
      <w:sz w:val="24"/>
      <w:szCs w:val="24"/>
      <w:lang w:eastAsia="ja-JP"/>
    </w:rPr>
  </w:style>
  <w:style w:type="paragraph" w:customStyle="1" w:styleId="a3">
    <w:name w:val="a3"/>
    <w:basedOn w:val="Heading3"/>
    <w:next w:val="Normal"/>
    <w:qFormat/>
    <w:rsid w:val="00AA7246"/>
    <w:pPr>
      <w:numPr>
        <w:ilvl w:val="0"/>
        <w:numId w:val="0"/>
      </w:numPr>
      <w:tabs>
        <w:tab w:val="left" w:pos="640"/>
        <w:tab w:val="left" w:pos="880"/>
      </w:tabs>
      <w:suppressAutoHyphens/>
      <w:spacing w:before="60" w:after="240" w:line="250" w:lineRule="exact"/>
      <w:outlineLvl w:val="9"/>
    </w:pPr>
    <w:rPr>
      <w:rFonts w:ascii="Arial" w:eastAsia="MS Mincho" w:hAnsi="Arial"/>
      <w:sz w:val="22"/>
      <w:szCs w:val="22"/>
      <w:lang w:eastAsia="ja-JP"/>
    </w:rPr>
  </w:style>
  <w:style w:type="paragraph" w:customStyle="1" w:styleId="a4">
    <w:name w:val="a4"/>
    <w:basedOn w:val="Heading4"/>
    <w:next w:val="Normal"/>
    <w:qFormat/>
    <w:rsid w:val="00AA7246"/>
    <w:pPr>
      <w:numPr>
        <w:ilvl w:val="0"/>
        <w:numId w:val="0"/>
      </w:numPr>
      <w:tabs>
        <w:tab w:val="left" w:pos="880"/>
      </w:tabs>
      <w:suppressAutoHyphens/>
      <w:spacing w:before="60" w:after="240" w:line="230" w:lineRule="exact"/>
      <w:outlineLvl w:val="9"/>
    </w:pPr>
    <w:rPr>
      <w:rFonts w:ascii="Arial" w:eastAsia="MS Mincho" w:hAnsi="Arial" w:cs="Arial"/>
      <w:i w:val="0"/>
      <w:sz w:val="20"/>
      <w:szCs w:val="20"/>
      <w:lang w:eastAsia="ja-JP"/>
    </w:rPr>
  </w:style>
  <w:style w:type="paragraph" w:customStyle="1" w:styleId="a5">
    <w:name w:val="a5"/>
    <w:basedOn w:val="Heading5"/>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i w:val="0"/>
      <w:iCs w:val="0"/>
      <w:sz w:val="20"/>
      <w:szCs w:val="20"/>
      <w:lang w:eastAsia="ja-JP"/>
    </w:rPr>
  </w:style>
  <w:style w:type="paragraph" w:customStyle="1" w:styleId="a6">
    <w:name w:val="a6"/>
    <w:basedOn w:val="Heading6"/>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sz w:val="20"/>
      <w:szCs w:val="20"/>
      <w:lang w:eastAsia="ja-JP"/>
    </w:rPr>
  </w:style>
  <w:style w:type="paragraph" w:customStyle="1" w:styleId="ANNEX">
    <w:name w:val="ANNEX"/>
    <w:basedOn w:val="Normal"/>
    <w:next w:val="Normal"/>
    <w:qFormat/>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qFormat/>
    <w:rsid w:val="00AA7246"/>
    <w:pPr>
      <w:spacing w:after="240"/>
      <w:jc w:val="left"/>
      <w:outlineLvl w:val="9"/>
    </w:pPr>
    <w:rPr>
      <w:kern w:val="2"/>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paragraph" w:styleId="TOC4">
    <w:name w:val="toc 4"/>
    <w:basedOn w:val="Normal"/>
    <w:next w:val="Normal"/>
    <w:autoRedefine/>
    <w:semiHidden/>
    <w:rsid w:val="002B2FD2"/>
    <w:pPr>
      <w:ind w:left="720"/>
    </w:pPr>
  </w:style>
  <w:style w:type="paragraph" w:customStyle="1" w:styleId="TableContents">
    <w:name w:val="Table Contents"/>
    <w:basedOn w:val="Normal"/>
    <w:qFormat/>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qFormat/>
    <w:rsid w:val="00DB3208"/>
    <w:pPr>
      <w:jc w:val="center"/>
    </w:pPr>
    <w:rPr>
      <w:b/>
      <w:bCs/>
      <w:i/>
      <w:iCs/>
    </w:rPr>
  </w:style>
  <w:style w:type="paragraph" w:styleId="BalloonText">
    <w:name w:val="Balloon Text"/>
    <w:basedOn w:val="Normal"/>
    <w:link w:val="BalloonTextChar"/>
    <w:qFormat/>
    <w:rsid w:val="00CC1CE8"/>
    <w:rPr>
      <w:rFonts w:ascii="Lucida Grande" w:hAnsi="Lucida Grande"/>
      <w:sz w:val="18"/>
      <w:szCs w:val="18"/>
    </w:rPr>
  </w:style>
  <w:style w:type="paragraph" w:styleId="DocumentMap">
    <w:name w:val="Document Map"/>
    <w:basedOn w:val="Normal"/>
    <w:link w:val="DocumentMapChar"/>
    <w:qFormat/>
    <w:rsid w:val="00CC1CE8"/>
    <w:rPr>
      <w:rFonts w:ascii="Lucida Grande" w:hAnsi="Lucida Grande"/>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paragraph" w:styleId="CommentText">
    <w:name w:val="annotation text"/>
    <w:basedOn w:val="Normal"/>
    <w:link w:val="CommentTextChar"/>
    <w:qFormat/>
    <w:rsid w:val="00CC1CE8"/>
    <w:rPr>
      <w:sz w:val="20"/>
      <w:szCs w:val="20"/>
    </w:rPr>
  </w:style>
  <w:style w:type="paragraph" w:styleId="CommentSubject">
    <w:name w:val="annotation subject"/>
    <w:basedOn w:val="CommentText"/>
    <w:next w:val="CommentText"/>
    <w:link w:val="CommentSubjectChar"/>
    <w:qFormat/>
    <w:rsid w:val="00CC1CE8"/>
    <w:rPr>
      <w:b/>
      <w:bCs/>
    </w:rPr>
  </w:style>
  <w:style w:type="paragraph" w:customStyle="1" w:styleId="western">
    <w:name w:val="western"/>
    <w:basedOn w:val="Normal"/>
    <w:qFormat/>
    <w:rsid w:val="00CC1CE8"/>
    <w:rPr>
      <w:rFonts w:eastAsia="Times New Roman"/>
      <w:lang w:val="it-IT" w:eastAsia="it-IT"/>
    </w:rPr>
  </w:style>
  <w:style w:type="paragraph" w:styleId="NormalWeb">
    <w:name w:val="Normal (Web)"/>
    <w:basedOn w:val="Normal"/>
    <w:uiPriority w:val="99"/>
    <w:unhideWhenUsed/>
    <w:qFormat/>
    <w:rsid w:val="001C2B74"/>
    <w:pPr>
      <w:spacing w:beforeAutospacing="1" w:afterAutospacing="1"/>
    </w:pPr>
    <w:rPr>
      <w:rFonts w:eastAsia="Times New Roman"/>
      <w:lang w:eastAsia="zh-TW"/>
    </w:rPr>
  </w:style>
  <w:style w:type="paragraph" w:styleId="IndexHeading">
    <w:name w:val="index heading"/>
    <w:basedOn w:val="Heading"/>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spacing w:after="200" w:line="276" w:lineRule="auto"/>
      <w:textAlignment w:val="baseline"/>
    </w:pPr>
    <w:rPr>
      <w:rFonts w:ascii="Cambria" w:eastAsia="Times New Roman" w:hAnsi="Cambria"/>
      <w:i/>
      <w:iCs/>
      <w:color w:val="4F81BD"/>
      <w:spacing w:val="15"/>
      <w:lang w:eastAsia="en-US"/>
    </w:rPr>
  </w:style>
  <w:style w:type="paragraph" w:customStyle="1" w:styleId="box">
    <w:name w:val="box"/>
    <w:basedOn w:val="Normal"/>
    <w:qFormat/>
    <w:rsid w:val="00951E3B"/>
    <w:pPr>
      <w:spacing w:before="120" w:after="120"/>
      <w:jc w:val="both"/>
    </w:pPr>
    <w:rPr>
      <w:rFonts w:eastAsia="MS Mincho"/>
      <w:sz w:val="32"/>
      <w:szCs w:val="20"/>
      <w:lang w:eastAsia="en-GB"/>
    </w:rPr>
  </w:style>
  <w:style w:type="paragraph" w:customStyle="1" w:styleId="TableHeader">
    <w:name w:val="Table Header"/>
    <w:basedOn w:val="Normal"/>
    <w:qFormat/>
    <w:rsid w:val="00C36503"/>
    <w:pPr>
      <w:widowControl w:val="0"/>
      <w:jc w:val="both"/>
      <w:textAlignment w:val="baseline"/>
    </w:pPr>
    <w:rPr>
      <w:rFonts w:eastAsia="Times New Roman"/>
      <w:bCs/>
    </w:rPr>
  </w:style>
  <w:style w:type="paragraph" w:customStyle="1" w:styleId="StandardName">
    <w:name w:val="Standard Name"/>
    <w:basedOn w:val="Normal"/>
    <w:qFormat/>
    <w:rsid w:val="00C36503"/>
    <w:pPr>
      <w:widowControl w:val="0"/>
      <w:jc w:val="both"/>
      <w:textAlignment w:val="baseline"/>
    </w:pPr>
    <w:rPr>
      <w:rFonts w:eastAsia="Times New Roman"/>
      <w:bCs/>
      <w:i/>
      <w:iCs/>
      <w:lang w:val="it-IT"/>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openxmlformats.org/officeDocument/2006/relationships/hyperlink" Target="https://mpai.community/statu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pai.community/governance/" TargetMode="External"/><Relationship Id="rId7" Type="http://schemas.openxmlformats.org/officeDocument/2006/relationships/oleObject" Target="embeddings/oleObject1.bin"/><Relationship Id="rId12" Type="http://schemas.microsoft.com/office/2011/relationships/commentsExtended" Target="commentsExtended.xml"/><Relationship Id="rId17" Type="http://schemas.openxmlformats.org/officeDocument/2006/relationships/hyperlink" Target="https://mpai.community/statu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pai.community/resourc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mments" Target="comments.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hyperlink" Target="https://mpai.community/about/licence/" TargetMode="External"/><Relationship Id="rId10" Type="http://schemas.openxmlformats.org/officeDocument/2006/relationships/image" Target="media/image3.png"/><Relationship Id="rId19" Type="http://schemas.openxmlformats.org/officeDocument/2006/relationships/hyperlink" Target="https://mpai.community/resources/"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microsoft.com/office/2018/08/relationships/commentsExtensible" Target="commentsExtensible.xml"/><Relationship Id="rId22" Type="http://schemas.openxmlformats.org/officeDocument/2006/relationships/hyperlink" Target="mailto:secretariat@mpai.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3944</Words>
  <Characters>22484</Characters>
  <Application>Microsoft Office Word</Application>
  <DocSecurity>0</DocSecurity>
  <Lines>187</Lines>
  <Paragraphs>52</Paragraphs>
  <ScaleCrop>false</ScaleCrop>
  <Company>CEDEO</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dc:description/>
  <cp:lastModifiedBy>Leonardo Chiariglione</cp:lastModifiedBy>
  <cp:revision>8</cp:revision>
  <dcterms:created xsi:type="dcterms:W3CDTF">2022-05-17T09:43:00Z</dcterms:created>
  <dcterms:modified xsi:type="dcterms:W3CDTF">2022-05-18T11:01:00Z</dcterms:modified>
  <dc:language>it-IT</dc:language>
</cp:coreProperties>
</file>