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C820BB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45pt;height:58.7pt;visibility:visible;mso-wrap-distance-right:0" o:ole="">
                  <v:imagedata r:id="rId6" o:title=""/>
                </v:shape>
                <o:OLEObject Type="Embed" ProgID="PBrush" ShapeID="ole_rId2" DrawAspect="Content" ObjectID="_171714018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53C22C48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C6724">
              <w:rPr>
                <w:b/>
                <w:bCs/>
              </w:rPr>
              <w:t>743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0BFA2DA9" w:rsidR="00CA6DCE" w:rsidRDefault="00552502">
            <w:pPr>
              <w:jc w:val="right"/>
            </w:pPr>
            <w:r>
              <w:t>2022/0</w:t>
            </w:r>
            <w:r w:rsidR="00EC6724">
              <w:t>6</w:t>
            </w:r>
            <w:r>
              <w:t>/</w:t>
            </w:r>
            <w:r w:rsidR="00EC6724">
              <w:t>22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6933510E" w:rsidR="00CA6DCE" w:rsidRDefault="00552502">
            <w:r>
              <w:t>MPAI-2</w:t>
            </w:r>
            <w:r w:rsidR="00EC6724">
              <w:t>1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7E" w14:textId="4FE8CF49" w:rsidR="00CA6DCE" w:rsidRDefault="00552502">
      <w:pPr>
        <w:jc w:val="both"/>
      </w:pPr>
      <w:r>
        <w:t xml:space="preserve">The Requirements (CAV) group has </w:t>
      </w:r>
      <w:r w:rsidR="00EC6724">
        <w:t xml:space="preserve">fully revised </w:t>
      </w:r>
      <w:r>
        <w:t xml:space="preserve">the </w:t>
      </w:r>
      <w:r w:rsidR="00C820BB">
        <w:t xml:space="preserve">architecture and the requirements of the </w:t>
      </w:r>
      <w:r>
        <w:t>Environment Sensing Subsystem, in particular. The result has been incorporated into the Use Cases and Functional Requirements</w:t>
      </w:r>
      <w:r w:rsidR="00C820BB" w:rsidRPr="00C820BB">
        <w:t xml:space="preserve"> </w:t>
      </w:r>
      <w:r w:rsidR="00C820BB">
        <w:t>document</w:t>
      </w:r>
      <w:r w:rsidR="00C820BB">
        <w:t>.</w:t>
      </w:r>
    </w:p>
    <w:p w14:paraId="58A25D7F" w14:textId="77777777" w:rsidR="00CA6DCE" w:rsidRDefault="00CA6DCE">
      <w:pPr>
        <w:jc w:val="both"/>
      </w:pPr>
    </w:p>
    <w:p w14:paraId="58A25D80" w14:textId="77777777" w:rsidR="00CA6DCE" w:rsidRDefault="00CA6DCE">
      <w:pPr>
        <w:jc w:val="both"/>
      </w:pP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552502"/>
    <w:rsid w:val="00C820BB"/>
    <w:rsid w:val="00CA6DCE"/>
    <w:rsid w:val="00E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CEDEO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4</cp:revision>
  <dcterms:created xsi:type="dcterms:W3CDTF">2022-06-19T08:35:00Z</dcterms:created>
  <dcterms:modified xsi:type="dcterms:W3CDTF">2022-06-19T08:37:00Z</dcterms:modified>
  <dc:language>it-IT</dc:language>
</cp:coreProperties>
</file>