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30591047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55FE0E21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BA0369">
              <w:rPr>
                <w:b/>
                <w:bCs/>
              </w:rPr>
              <w:t>818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65D926F5" w:rsidR="00804D23" w:rsidRDefault="00BA0369">
            <w:pPr>
              <w:jc w:val="right"/>
            </w:pPr>
            <w:r w:rsidRPr="00BA0369">
              <w:t>2026/02/18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661D9752" w:rsidR="00804D23" w:rsidRDefault="00F868AF">
            <w:r>
              <w:t>General Assembly #</w:t>
            </w:r>
            <w:r w:rsidR="00850741">
              <w:t>6</w:t>
            </w:r>
            <w:r w:rsidR="00BA0369">
              <w:t>5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BA0369">
              <w:t>5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4828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A0369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83</cp:revision>
  <dcterms:created xsi:type="dcterms:W3CDTF">2024-07-09T09:39:00Z</dcterms:created>
  <dcterms:modified xsi:type="dcterms:W3CDTF">2026-01-22T11:44:00Z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